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AEA" w:rsidRPr="00877AE6" w:rsidRDefault="00707317" w:rsidP="000D5AEA">
      <w:pPr>
        <w:spacing w:after="0" w:line="360" w:lineRule="auto"/>
        <w:jc w:val="both"/>
        <w:rPr>
          <w:rFonts w:ascii="Palatino Linotype" w:eastAsia="Calibri" w:hAnsi="Palatino Linotype" w:cs="Arial"/>
          <w:b/>
          <w:bCs/>
          <w:sz w:val="24"/>
          <w:szCs w:val="24"/>
          <w:lang w:eastAsia="es-MX"/>
        </w:rPr>
      </w:pPr>
      <w:bookmarkStart w:id="0" w:name="_GoBack"/>
      <w:bookmarkEnd w:id="0"/>
      <w:r w:rsidRPr="00877AE6">
        <w:rPr>
          <w:rFonts w:ascii="Palatino Linotype" w:eastAsia="Calibri" w:hAnsi="Palatino Linotype" w:cs="Arial"/>
          <w:b/>
          <w:sz w:val="24"/>
          <w:szCs w:val="24"/>
        </w:rPr>
        <w:t>VOTO</w:t>
      </w:r>
      <w:r w:rsidR="000D5AEA" w:rsidRPr="00877AE6">
        <w:rPr>
          <w:rFonts w:ascii="Palatino Linotype" w:eastAsia="Calibri" w:hAnsi="Palatino Linotype" w:cs="Arial"/>
          <w:b/>
          <w:sz w:val="24"/>
          <w:szCs w:val="24"/>
        </w:rPr>
        <w:t xml:space="preserve"> PARTICULAR DEL COMISIONADO JOSÉ GUADALUPE LUNA HERNÁNDEZ EN EL RECURSO DE REVISIÓN </w:t>
      </w:r>
      <w:r w:rsidR="00832477">
        <w:rPr>
          <w:rFonts w:ascii="Palatino Linotype" w:eastAsia="Calibri" w:hAnsi="Palatino Linotype" w:cs="Arial"/>
          <w:b/>
          <w:sz w:val="24"/>
          <w:szCs w:val="24"/>
        </w:rPr>
        <w:t>00177/INFOEM/IP/RR/2019</w:t>
      </w:r>
      <w:r w:rsidR="000D5AEA" w:rsidRPr="00877AE6">
        <w:rPr>
          <w:rFonts w:ascii="Palatino Linotype" w:eastAsia="Calibri" w:hAnsi="Palatino Linotype" w:cs="Arial"/>
          <w:b/>
          <w:sz w:val="24"/>
          <w:szCs w:val="24"/>
        </w:rPr>
        <w:t>.</w:t>
      </w:r>
    </w:p>
    <w:p w:rsidR="000D5AEA" w:rsidRPr="00877AE6" w:rsidRDefault="000D5AEA" w:rsidP="000D5AEA">
      <w:pPr>
        <w:spacing w:after="0" w:line="360" w:lineRule="auto"/>
        <w:jc w:val="both"/>
        <w:rPr>
          <w:rFonts w:ascii="Palatino Linotype" w:eastAsia="Calibri" w:hAnsi="Palatino Linotype" w:cs="Arial"/>
          <w:sz w:val="24"/>
          <w:szCs w:val="24"/>
        </w:rPr>
      </w:pPr>
    </w:p>
    <w:p w:rsidR="00376456" w:rsidRDefault="00E220D0" w:rsidP="00FE083B">
      <w:pPr>
        <w:pStyle w:val="Sinespaciado"/>
        <w:spacing w:line="360" w:lineRule="auto"/>
        <w:jc w:val="both"/>
        <w:rPr>
          <w:rFonts w:ascii="Palatino Linotype" w:eastAsia="Calibri" w:hAnsi="Palatino Linotype" w:cs="Arial"/>
          <w:sz w:val="24"/>
          <w:szCs w:val="24"/>
        </w:rPr>
      </w:pPr>
      <w:r w:rsidRPr="00877AE6">
        <w:rPr>
          <w:rFonts w:ascii="Palatino Linotype" w:eastAsia="Calibri" w:hAnsi="Palatino Linotype" w:cs="Arial"/>
          <w:b/>
          <w:sz w:val="24"/>
          <w:szCs w:val="24"/>
        </w:rPr>
        <w:t>Resumen del voto:</w:t>
      </w:r>
      <w:r w:rsidRPr="00877AE6">
        <w:rPr>
          <w:rFonts w:ascii="Palatino Linotype" w:eastAsia="Calibri" w:hAnsi="Palatino Linotype" w:cs="Arial"/>
          <w:sz w:val="24"/>
          <w:szCs w:val="24"/>
        </w:rPr>
        <w:t xml:space="preserve"> </w:t>
      </w:r>
    </w:p>
    <w:p w:rsidR="00510F12" w:rsidRDefault="00510F12" w:rsidP="00510F12">
      <w:pPr>
        <w:spacing w:line="360" w:lineRule="auto"/>
        <w:jc w:val="both"/>
        <w:rPr>
          <w:rFonts w:ascii="Palatino Linotype" w:eastAsia="Times New Roman" w:hAnsi="Palatino Linotype"/>
          <w:color w:val="000000" w:themeColor="text1"/>
        </w:rPr>
      </w:pPr>
      <w:r>
        <w:rPr>
          <w:rFonts w:ascii="Palatino Linotype" w:eastAsia="Times New Roman" w:hAnsi="Palatino Linotype"/>
          <w:color w:val="000000" w:themeColor="text1"/>
        </w:rPr>
        <w:t xml:space="preserve">Por atribuciones de derecho público que el Estado confiere, todos los Sujetos Obligado </w:t>
      </w:r>
      <w:r w:rsidR="00222D24">
        <w:rPr>
          <w:rFonts w:ascii="Palatino Linotype" w:eastAsia="Times New Roman" w:hAnsi="Palatino Linotype"/>
          <w:color w:val="000000" w:themeColor="text1"/>
        </w:rPr>
        <w:t>deben</w:t>
      </w:r>
      <w:r>
        <w:rPr>
          <w:rFonts w:ascii="Palatino Linotype" w:eastAsia="Times New Roman" w:hAnsi="Palatino Linotype"/>
          <w:color w:val="000000" w:themeColor="text1"/>
        </w:rPr>
        <w:t xml:space="preserve"> dirigir sus actuaciones </w:t>
      </w:r>
      <w:r w:rsidR="00C13B28">
        <w:rPr>
          <w:rFonts w:ascii="Palatino Linotype" w:eastAsia="Times New Roman" w:hAnsi="Palatino Linotype"/>
          <w:color w:val="000000" w:themeColor="text1"/>
        </w:rPr>
        <w:t xml:space="preserve">a la </w:t>
      </w:r>
      <w:r w:rsidR="00A66198">
        <w:rPr>
          <w:rFonts w:ascii="Palatino Linotype" w:eastAsia="Times New Roman" w:hAnsi="Palatino Linotype"/>
          <w:color w:val="000000" w:themeColor="text1"/>
        </w:rPr>
        <w:t xml:space="preserve">protección </w:t>
      </w:r>
      <w:r w:rsidR="00C13B28">
        <w:rPr>
          <w:rFonts w:ascii="Palatino Linotype" w:eastAsia="Times New Roman" w:hAnsi="Palatino Linotype"/>
          <w:color w:val="000000" w:themeColor="text1"/>
        </w:rPr>
        <w:t>de</w:t>
      </w:r>
      <w:r w:rsidR="00A66198">
        <w:rPr>
          <w:rFonts w:ascii="Palatino Linotype" w:eastAsia="Times New Roman" w:hAnsi="Palatino Linotype"/>
          <w:color w:val="000000" w:themeColor="text1"/>
        </w:rPr>
        <w:t xml:space="preserve">l derecho humano de acceso a la información pública, </w:t>
      </w:r>
      <w:r w:rsidR="00A25037">
        <w:rPr>
          <w:rFonts w:ascii="Palatino Linotype" w:eastAsia="Times New Roman" w:hAnsi="Palatino Linotype"/>
          <w:color w:val="000000" w:themeColor="text1"/>
        </w:rPr>
        <w:t xml:space="preserve">bajo un sentido amplio de responsabilidad, </w:t>
      </w:r>
      <w:r w:rsidR="00C13B28">
        <w:rPr>
          <w:rFonts w:ascii="Palatino Linotype" w:eastAsia="Times New Roman" w:hAnsi="Palatino Linotype"/>
          <w:color w:val="000000" w:themeColor="text1"/>
        </w:rPr>
        <w:t xml:space="preserve">realizando </w:t>
      </w:r>
      <w:r>
        <w:rPr>
          <w:rFonts w:ascii="Palatino Linotype" w:eastAsia="Times New Roman" w:hAnsi="Palatino Linotype"/>
          <w:color w:val="000000" w:themeColor="text1"/>
        </w:rPr>
        <w:t>las diligencias necesarias</w:t>
      </w:r>
      <w:r w:rsidR="00222D24">
        <w:rPr>
          <w:rFonts w:ascii="Palatino Linotype" w:eastAsia="Times New Roman" w:hAnsi="Palatino Linotype"/>
          <w:color w:val="000000" w:themeColor="text1"/>
        </w:rPr>
        <w:t xml:space="preserve"> </w:t>
      </w:r>
      <w:r w:rsidR="00A25037">
        <w:rPr>
          <w:rFonts w:ascii="Palatino Linotype" w:eastAsia="Times New Roman" w:hAnsi="Palatino Linotype"/>
          <w:color w:val="000000" w:themeColor="text1"/>
        </w:rPr>
        <w:t xml:space="preserve">e  indicando las acciones ejercidas encaminadas a localizar la información requerida; </w:t>
      </w:r>
      <w:r w:rsidR="00B6334C">
        <w:rPr>
          <w:rFonts w:ascii="Palatino Linotype" w:eastAsia="Times New Roman" w:hAnsi="Palatino Linotype"/>
          <w:color w:val="000000" w:themeColor="text1"/>
        </w:rPr>
        <w:t xml:space="preserve">demostrando </w:t>
      </w:r>
      <w:r w:rsidR="00A25037">
        <w:rPr>
          <w:rFonts w:ascii="Palatino Linotype" w:eastAsia="Times New Roman" w:hAnsi="Palatino Linotype"/>
          <w:color w:val="000000" w:themeColor="text1"/>
        </w:rPr>
        <w:t xml:space="preserve">con ello </w:t>
      </w:r>
      <w:r w:rsidR="00B6334C">
        <w:rPr>
          <w:rFonts w:ascii="Palatino Linotype" w:eastAsia="Times New Roman" w:hAnsi="Palatino Linotype"/>
          <w:color w:val="000000" w:themeColor="text1"/>
        </w:rPr>
        <w:t xml:space="preserve">una efectiva </w:t>
      </w:r>
      <w:r>
        <w:rPr>
          <w:rFonts w:ascii="Palatino Linotype" w:eastAsia="Times New Roman" w:hAnsi="Palatino Linotype"/>
          <w:color w:val="000000" w:themeColor="text1"/>
        </w:rPr>
        <w:t>búsqueda</w:t>
      </w:r>
      <w:r w:rsidR="00B6334C">
        <w:rPr>
          <w:rFonts w:ascii="Palatino Linotype" w:eastAsia="Times New Roman" w:hAnsi="Palatino Linotype"/>
          <w:color w:val="000000" w:themeColor="text1"/>
        </w:rPr>
        <w:t xml:space="preserve"> exhaustiva</w:t>
      </w:r>
      <w:r>
        <w:rPr>
          <w:rFonts w:ascii="Palatino Linotype" w:eastAsia="Times New Roman" w:hAnsi="Palatino Linotype"/>
          <w:color w:val="000000" w:themeColor="text1"/>
        </w:rPr>
        <w:t xml:space="preserve">, </w:t>
      </w:r>
      <w:r w:rsidR="00A25037">
        <w:rPr>
          <w:rFonts w:ascii="Palatino Linotype" w:eastAsia="Times New Roman" w:hAnsi="Palatino Linotype"/>
          <w:color w:val="000000" w:themeColor="text1"/>
        </w:rPr>
        <w:t>que ofrezca certeza y seguridad</w:t>
      </w:r>
      <w:r>
        <w:rPr>
          <w:rFonts w:ascii="Palatino Linotype" w:eastAsia="Times New Roman" w:hAnsi="Palatino Linotype"/>
          <w:color w:val="000000" w:themeColor="text1"/>
        </w:rPr>
        <w:t xml:space="preserve"> jurídica</w:t>
      </w:r>
      <w:r w:rsidR="00A25037">
        <w:rPr>
          <w:rFonts w:ascii="Palatino Linotype" w:eastAsia="Times New Roman" w:hAnsi="Palatino Linotype"/>
          <w:color w:val="000000" w:themeColor="text1"/>
        </w:rPr>
        <w:t xml:space="preserve"> a los particulares</w:t>
      </w:r>
      <w:r w:rsidR="00605C7F">
        <w:rPr>
          <w:rFonts w:ascii="Palatino Linotype" w:eastAsia="Times New Roman" w:hAnsi="Palatino Linotype"/>
          <w:color w:val="000000" w:themeColor="text1"/>
        </w:rPr>
        <w:t xml:space="preserve"> en el ejercicio de su derecho, lo cual contribuye a evitar la actuación discrecional y arbitraria de los Sujetos Obligados de entregar o no determinada información. </w:t>
      </w:r>
    </w:p>
    <w:p w:rsidR="00832477" w:rsidRPr="00BD7A89" w:rsidRDefault="00832477" w:rsidP="00510F12">
      <w:pPr>
        <w:spacing w:line="360" w:lineRule="auto"/>
        <w:jc w:val="both"/>
        <w:rPr>
          <w:rFonts w:ascii="Palatino Linotype" w:eastAsia="Times New Roman" w:hAnsi="Palatino Linotype"/>
          <w:color w:val="000000" w:themeColor="text1"/>
          <w:sz w:val="24"/>
        </w:rPr>
      </w:pPr>
    </w:p>
    <w:p w:rsidR="00A25037" w:rsidRPr="00BD7A89" w:rsidRDefault="00BD7A89" w:rsidP="00510F12">
      <w:pPr>
        <w:spacing w:line="360" w:lineRule="auto"/>
        <w:jc w:val="both"/>
        <w:rPr>
          <w:rFonts w:ascii="Palatino Linotype" w:eastAsia="Times New Roman" w:hAnsi="Palatino Linotype"/>
          <w:b/>
          <w:color w:val="000000" w:themeColor="text1"/>
          <w:sz w:val="24"/>
        </w:rPr>
      </w:pPr>
      <w:r w:rsidRPr="00BD7A89">
        <w:rPr>
          <w:rFonts w:ascii="Palatino Linotype" w:eastAsia="Times New Roman" w:hAnsi="Palatino Linotype"/>
          <w:b/>
          <w:color w:val="000000" w:themeColor="text1"/>
          <w:sz w:val="24"/>
        </w:rPr>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605C7F" w:rsidRPr="00BD7A89" w:rsidRDefault="009C382C" w:rsidP="00BD7A89">
          <w:pPr>
            <w:pStyle w:val="TDC1"/>
            <w:spacing w:line="360" w:lineRule="auto"/>
            <w:rPr>
              <w:rFonts w:ascii="Palatino Linotype" w:eastAsiaTheme="minorEastAsia" w:hAnsi="Palatino Linotype"/>
              <w:noProof/>
              <w:sz w:val="24"/>
              <w:szCs w:val="24"/>
              <w:lang w:eastAsia="es-MX"/>
            </w:rPr>
          </w:pPr>
          <w:r w:rsidRPr="00BD7A89">
            <w:rPr>
              <w:rFonts w:ascii="Palatino Linotype" w:hAnsi="Palatino Linotype"/>
              <w:color w:val="0D0D0D" w:themeColor="text1" w:themeTint="F2"/>
              <w:sz w:val="24"/>
              <w:szCs w:val="24"/>
            </w:rPr>
            <w:fldChar w:fldCharType="begin"/>
          </w:r>
          <w:r w:rsidRPr="00BD7A89">
            <w:rPr>
              <w:rFonts w:ascii="Palatino Linotype" w:hAnsi="Palatino Linotype"/>
              <w:color w:val="0D0D0D" w:themeColor="text1" w:themeTint="F2"/>
              <w:sz w:val="24"/>
              <w:szCs w:val="24"/>
            </w:rPr>
            <w:instrText xml:space="preserve"> TOC \o "1-3" \h \z \u </w:instrText>
          </w:r>
          <w:r w:rsidRPr="00BD7A89">
            <w:rPr>
              <w:rFonts w:ascii="Palatino Linotype" w:hAnsi="Palatino Linotype"/>
              <w:color w:val="0D0D0D" w:themeColor="text1" w:themeTint="F2"/>
              <w:sz w:val="24"/>
              <w:szCs w:val="24"/>
            </w:rPr>
            <w:fldChar w:fldCharType="separate"/>
          </w:r>
          <w:hyperlink w:anchor="_Toc3203375" w:history="1">
            <w:r w:rsidR="00605C7F" w:rsidRPr="00BD7A89">
              <w:rPr>
                <w:rStyle w:val="Hipervnculo"/>
                <w:rFonts w:ascii="Palatino Linotype" w:eastAsia="Times New Roman" w:hAnsi="Palatino Linotype"/>
                <w:b/>
                <w:noProof/>
                <w:sz w:val="24"/>
                <w:szCs w:val="24"/>
              </w:rPr>
              <w:t>I.</w:t>
            </w:r>
            <w:r w:rsidR="00605C7F" w:rsidRPr="00BD7A89">
              <w:rPr>
                <w:rFonts w:ascii="Palatino Linotype" w:eastAsiaTheme="minorEastAsia" w:hAnsi="Palatino Linotype"/>
                <w:noProof/>
                <w:sz w:val="24"/>
                <w:szCs w:val="24"/>
                <w:lang w:eastAsia="es-MX"/>
              </w:rPr>
              <w:tab/>
            </w:r>
            <w:r w:rsidR="00605C7F" w:rsidRPr="00BD7A89">
              <w:rPr>
                <w:rStyle w:val="Hipervnculo"/>
                <w:rFonts w:ascii="Palatino Linotype" w:eastAsia="Times New Roman" w:hAnsi="Palatino Linotype"/>
                <w:b/>
                <w:noProof/>
                <w:sz w:val="24"/>
                <w:szCs w:val="24"/>
              </w:rPr>
              <w:t>Consideraciones Generales</w:t>
            </w:r>
            <w:r w:rsidR="00605C7F" w:rsidRPr="00BD7A89">
              <w:rPr>
                <w:rFonts w:ascii="Palatino Linotype" w:hAnsi="Palatino Linotype"/>
                <w:noProof/>
                <w:webHidden/>
                <w:sz w:val="24"/>
                <w:szCs w:val="24"/>
              </w:rPr>
              <w:tab/>
            </w:r>
            <w:r w:rsidR="00605C7F" w:rsidRPr="00BD7A89">
              <w:rPr>
                <w:rFonts w:ascii="Palatino Linotype" w:hAnsi="Palatino Linotype"/>
                <w:noProof/>
                <w:webHidden/>
                <w:sz w:val="24"/>
                <w:szCs w:val="24"/>
              </w:rPr>
              <w:fldChar w:fldCharType="begin"/>
            </w:r>
            <w:r w:rsidR="00605C7F" w:rsidRPr="00BD7A89">
              <w:rPr>
                <w:rFonts w:ascii="Palatino Linotype" w:hAnsi="Palatino Linotype"/>
                <w:noProof/>
                <w:webHidden/>
                <w:sz w:val="24"/>
                <w:szCs w:val="24"/>
              </w:rPr>
              <w:instrText xml:space="preserve"> PAGEREF _Toc3203375 \h </w:instrText>
            </w:r>
            <w:r w:rsidR="00605C7F" w:rsidRPr="00BD7A89">
              <w:rPr>
                <w:rFonts w:ascii="Palatino Linotype" w:hAnsi="Palatino Linotype"/>
                <w:noProof/>
                <w:webHidden/>
                <w:sz w:val="24"/>
                <w:szCs w:val="24"/>
              </w:rPr>
            </w:r>
            <w:r w:rsidR="00605C7F" w:rsidRPr="00BD7A89">
              <w:rPr>
                <w:rFonts w:ascii="Palatino Linotype" w:hAnsi="Palatino Linotype"/>
                <w:noProof/>
                <w:webHidden/>
                <w:sz w:val="24"/>
                <w:szCs w:val="24"/>
              </w:rPr>
              <w:fldChar w:fldCharType="separate"/>
            </w:r>
            <w:r w:rsidR="0016669E">
              <w:rPr>
                <w:rFonts w:ascii="Palatino Linotype" w:hAnsi="Palatino Linotype"/>
                <w:noProof/>
                <w:webHidden/>
                <w:sz w:val="24"/>
                <w:szCs w:val="24"/>
              </w:rPr>
              <w:t>2</w:t>
            </w:r>
            <w:r w:rsidR="00605C7F" w:rsidRPr="00BD7A89">
              <w:rPr>
                <w:rFonts w:ascii="Palatino Linotype" w:hAnsi="Palatino Linotype"/>
                <w:noProof/>
                <w:webHidden/>
                <w:sz w:val="24"/>
                <w:szCs w:val="24"/>
              </w:rPr>
              <w:fldChar w:fldCharType="end"/>
            </w:r>
          </w:hyperlink>
        </w:p>
        <w:p w:rsidR="00605C7F" w:rsidRPr="00BD7A89" w:rsidRDefault="00F627CE" w:rsidP="00BD7A89">
          <w:pPr>
            <w:pStyle w:val="TDC1"/>
            <w:spacing w:line="360" w:lineRule="auto"/>
            <w:rPr>
              <w:rFonts w:ascii="Palatino Linotype" w:eastAsiaTheme="minorEastAsia" w:hAnsi="Palatino Linotype"/>
              <w:noProof/>
              <w:sz w:val="24"/>
              <w:szCs w:val="24"/>
              <w:lang w:eastAsia="es-MX"/>
            </w:rPr>
          </w:pPr>
          <w:hyperlink w:anchor="_Toc3203376" w:history="1">
            <w:r w:rsidR="00605C7F" w:rsidRPr="00BD7A89">
              <w:rPr>
                <w:rStyle w:val="Hipervnculo"/>
                <w:rFonts w:ascii="Palatino Linotype" w:eastAsia="Calibri" w:hAnsi="Palatino Linotype"/>
                <w:b/>
                <w:noProof/>
                <w:sz w:val="24"/>
                <w:szCs w:val="24"/>
                <w:lang w:val="es-ES"/>
              </w:rPr>
              <w:t>II.</w:t>
            </w:r>
            <w:r w:rsidR="00605C7F" w:rsidRPr="00BD7A89">
              <w:rPr>
                <w:rFonts w:ascii="Palatino Linotype" w:eastAsiaTheme="minorEastAsia" w:hAnsi="Palatino Linotype"/>
                <w:noProof/>
                <w:sz w:val="24"/>
                <w:szCs w:val="24"/>
                <w:lang w:eastAsia="es-MX"/>
              </w:rPr>
              <w:tab/>
            </w:r>
            <w:r w:rsidR="00605C7F" w:rsidRPr="00BD7A89">
              <w:rPr>
                <w:rStyle w:val="Hipervnculo"/>
                <w:rFonts w:ascii="Palatino Linotype" w:eastAsia="Calibri" w:hAnsi="Palatino Linotype"/>
                <w:b/>
                <w:noProof/>
                <w:sz w:val="24"/>
                <w:szCs w:val="24"/>
                <w:lang w:val="es-ES"/>
              </w:rPr>
              <w:t>De los requerimientos planteados en el recurso de revisión.</w:t>
            </w:r>
            <w:r w:rsidR="00605C7F" w:rsidRPr="00BD7A89">
              <w:rPr>
                <w:rFonts w:ascii="Palatino Linotype" w:hAnsi="Palatino Linotype"/>
                <w:noProof/>
                <w:webHidden/>
                <w:sz w:val="24"/>
                <w:szCs w:val="24"/>
              </w:rPr>
              <w:tab/>
            </w:r>
            <w:r w:rsidR="00605C7F" w:rsidRPr="00BD7A89">
              <w:rPr>
                <w:rFonts w:ascii="Palatino Linotype" w:hAnsi="Palatino Linotype"/>
                <w:noProof/>
                <w:webHidden/>
                <w:sz w:val="24"/>
                <w:szCs w:val="24"/>
              </w:rPr>
              <w:fldChar w:fldCharType="begin"/>
            </w:r>
            <w:r w:rsidR="00605C7F" w:rsidRPr="00BD7A89">
              <w:rPr>
                <w:rFonts w:ascii="Palatino Linotype" w:hAnsi="Palatino Linotype"/>
                <w:noProof/>
                <w:webHidden/>
                <w:sz w:val="24"/>
                <w:szCs w:val="24"/>
              </w:rPr>
              <w:instrText xml:space="preserve"> PAGEREF _Toc3203376 \h </w:instrText>
            </w:r>
            <w:r w:rsidR="00605C7F" w:rsidRPr="00BD7A89">
              <w:rPr>
                <w:rFonts w:ascii="Palatino Linotype" w:hAnsi="Palatino Linotype"/>
                <w:noProof/>
                <w:webHidden/>
                <w:sz w:val="24"/>
                <w:szCs w:val="24"/>
              </w:rPr>
            </w:r>
            <w:r w:rsidR="00605C7F" w:rsidRPr="00BD7A89">
              <w:rPr>
                <w:rFonts w:ascii="Palatino Linotype" w:hAnsi="Palatino Linotype"/>
                <w:noProof/>
                <w:webHidden/>
                <w:sz w:val="24"/>
                <w:szCs w:val="24"/>
              </w:rPr>
              <w:fldChar w:fldCharType="separate"/>
            </w:r>
            <w:r w:rsidR="0016669E">
              <w:rPr>
                <w:rFonts w:ascii="Palatino Linotype" w:hAnsi="Palatino Linotype"/>
                <w:noProof/>
                <w:webHidden/>
                <w:sz w:val="24"/>
                <w:szCs w:val="24"/>
              </w:rPr>
              <w:t>3</w:t>
            </w:r>
            <w:r w:rsidR="00605C7F" w:rsidRPr="00BD7A89">
              <w:rPr>
                <w:rFonts w:ascii="Palatino Linotype" w:hAnsi="Palatino Linotype"/>
                <w:noProof/>
                <w:webHidden/>
                <w:sz w:val="24"/>
                <w:szCs w:val="24"/>
              </w:rPr>
              <w:fldChar w:fldCharType="end"/>
            </w:r>
          </w:hyperlink>
        </w:p>
        <w:p w:rsidR="00605C7F" w:rsidRPr="00BD7A89" w:rsidRDefault="00F627CE" w:rsidP="00BD7A89">
          <w:pPr>
            <w:pStyle w:val="TDC1"/>
            <w:spacing w:line="360" w:lineRule="auto"/>
            <w:rPr>
              <w:rFonts w:ascii="Palatino Linotype" w:eastAsiaTheme="minorEastAsia" w:hAnsi="Palatino Linotype"/>
              <w:noProof/>
              <w:sz w:val="24"/>
              <w:szCs w:val="24"/>
              <w:lang w:eastAsia="es-MX"/>
            </w:rPr>
          </w:pPr>
          <w:hyperlink w:anchor="_Toc3203377" w:history="1">
            <w:r w:rsidR="00605C7F" w:rsidRPr="00BD7A89">
              <w:rPr>
                <w:rStyle w:val="Hipervnculo"/>
                <w:rFonts w:ascii="Palatino Linotype" w:hAnsi="Palatino Linotype"/>
                <w:b/>
                <w:noProof/>
                <w:sz w:val="24"/>
                <w:szCs w:val="24"/>
              </w:rPr>
              <w:t>III.</w:t>
            </w:r>
            <w:r w:rsidR="00605C7F" w:rsidRPr="00BD7A89">
              <w:rPr>
                <w:rFonts w:ascii="Palatino Linotype" w:eastAsiaTheme="minorEastAsia" w:hAnsi="Palatino Linotype"/>
                <w:noProof/>
                <w:sz w:val="24"/>
                <w:szCs w:val="24"/>
                <w:lang w:eastAsia="es-MX"/>
              </w:rPr>
              <w:tab/>
            </w:r>
            <w:r w:rsidR="00605C7F" w:rsidRPr="00BD7A89">
              <w:rPr>
                <w:rStyle w:val="Hipervnculo"/>
                <w:rFonts w:ascii="Palatino Linotype" w:hAnsi="Palatino Linotype"/>
                <w:b/>
                <w:noProof/>
                <w:sz w:val="24"/>
                <w:szCs w:val="24"/>
              </w:rPr>
              <w:t>De la acreditación de la debida búsqueda exhaustiva y razonable de la información.</w:t>
            </w:r>
            <w:r w:rsidR="00605C7F" w:rsidRPr="00BD7A89">
              <w:rPr>
                <w:rFonts w:ascii="Palatino Linotype" w:hAnsi="Palatino Linotype"/>
                <w:noProof/>
                <w:webHidden/>
                <w:sz w:val="24"/>
                <w:szCs w:val="24"/>
              </w:rPr>
              <w:tab/>
            </w:r>
            <w:r w:rsidR="00605C7F" w:rsidRPr="00BD7A89">
              <w:rPr>
                <w:rFonts w:ascii="Palatino Linotype" w:hAnsi="Palatino Linotype"/>
                <w:noProof/>
                <w:webHidden/>
                <w:sz w:val="24"/>
                <w:szCs w:val="24"/>
              </w:rPr>
              <w:fldChar w:fldCharType="begin"/>
            </w:r>
            <w:r w:rsidR="00605C7F" w:rsidRPr="00BD7A89">
              <w:rPr>
                <w:rFonts w:ascii="Palatino Linotype" w:hAnsi="Palatino Linotype"/>
                <w:noProof/>
                <w:webHidden/>
                <w:sz w:val="24"/>
                <w:szCs w:val="24"/>
              </w:rPr>
              <w:instrText xml:space="preserve"> PAGEREF _Toc3203377 \h </w:instrText>
            </w:r>
            <w:r w:rsidR="00605C7F" w:rsidRPr="00BD7A89">
              <w:rPr>
                <w:rFonts w:ascii="Palatino Linotype" w:hAnsi="Palatino Linotype"/>
                <w:noProof/>
                <w:webHidden/>
                <w:sz w:val="24"/>
                <w:szCs w:val="24"/>
              </w:rPr>
            </w:r>
            <w:r w:rsidR="00605C7F" w:rsidRPr="00BD7A89">
              <w:rPr>
                <w:rFonts w:ascii="Palatino Linotype" w:hAnsi="Palatino Linotype"/>
                <w:noProof/>
                <w:webHidden/>
                <w:sz w:val="24"/>
                <w:szCs w:val="24"/>
              </w:rPr>
              <w:fldChar w:fldCharType="separate"/>
            </w:r>
            <w:r w:rsidR="0016669E">
              <w:rPr>
                <w:rFonts w:ascii="Palatino Linotype" w:hAnsi="Palatino Linotype"/>
                <w:noProof/>
                <w:webHidden/>
                <w:sz w:val="24"/>
                <w:szCs w:val="24"/>
              </w:rPr>
              <w:t>4</w:t>
            </w:r>
            <w:r w:rsidR="00605C7F" w:rsidRPr="00BD7A89">
              <w:rPr>
                <w:rFonts w:ascii="Palatino Linotype" w:hAnsi="Palatino Linotype"/>
                <w:noProof/>
                <w:webHidden/>
                <w:sz w:val="24"/>
                <w:szCs w:val="24"/>
              </w:rPr>
              <w:fldChar w:fldCharType="end"/>
            </w:r>
          </w:hyperlink>
        </w:p>
        <w:p w:rsidR="00A25037" w:rsidRDefault="009C382C" w:rsidP="00BD7A89">
          <w:pPr>
            <w:spacing w:line="360" w:lineRule="auto"/>
            <w:rPr>
              <w:rFonts w:ascii="Palatino Linotype" w:hAnsi="Palatino Linotype"/>
              <w:b/>
              <w:bCs/>
              <w:sz w:val="24"/>
              <w:szCs w:val="24"/>
              <w:lang w:val="es-ES"/>
            </w:rPr>
          </w:pPr>
          <w:r w:rsidRPr="00BD7A89">
            <w:rPr>
              <w:rFonts w:ascii="Palatino Linotype" w:hAnsi="Palatino Linotype"/>
              <w:b/>
              <w:bCs/>
              <w:color w:val="0D0D0D" w:themeColor="text1" w:themeTint="F2"/>
              <w:sz w:val="24"/>
              <w:szCs w:val="24"/>
              <w:lang w:val="es-ES"/>
            </w:rPr>
            <w:fldChar w:fldCharType="end"/>
          </w:r>
        </w:p>
      </w:sdtContent>
    </w:sdt>
    <w:p w:rsidR="00832477" w:rsidRDefault="00832477" w:rsidP="00832477">
      <w:pPr>
        <w:pStyle w:val="Ttulo1"/>
        <w:rPr>
          <w:rFonts w:ascii="Palatino Linotype" w:eastAsia="Times New Roman" w:hAnsi="Palatino Linotype"/>
          <w:b/>
          <w:sz w:val="24"/>
          <w:szCs w:val="24"/>
        </w:rPr>
      </w:pPr>
      <w:bookmarkStart w:id="1" w:name="_Toc3203375"/>
    </w:p>
    <w:p w:rsidR="00832477" w:rsidRDefault="00832477" w:rsidP="00832477"/>
    <w:p w:rsidR="000D5AEA" w:rsidRPr="00877AE6" w:rsidRDefault="000D5AEA" w:rsidP="00B5044C">
      <w:pPr>
        <w:pStyle w:val="Ttulo1"/>
        <w:numPr>
          <w:ilvl w:val="0"/>
          <w:numId w:val="3"/>
        </w:numPr>
        <w:rPr>
          <w:rFonts w:ascii="Palatino Linotype" w:eastAsia="Times New Roman" w:hAnsi="Palatino Linotype"/>
          <w:b/>
          <w:sz w:val="24"/>
          <w:szCs w:val="24"/>
        </w:rPr>
      </w:pPr>
      <w:r w:rsidRPr="00877AE6">
        <w:rPr>
          <w:rFonts w:ascii="Palatino Linotype" w:eastAsia="Times New Roman" w:hAnsi="Palatino Linotype"/>
          <w:b/>
          <w:color w:val="auto"/>
          <w:sz w:val="24"/>
          <w:szCs w:val="24"/>
        </w:rPr>
        <w:lastRenderedPageBreak/>
        <w:t>Consideraciones Generales</w:t>
      </w:r>
      <w:bookmarkEnd w:id="1"/>
    </w:p>
    <w:p w:rsidR="003D1DF8" w:rsidRPr="003D1DF8" w:rsidRDefault="003D1DF8" w:rsidP="003D1DF8">
      <w:pPr>
        <w:spacing w:after="0" w:line="360" w:lineRule="auto"/>
        <w:ind w:left="360"/>
        <w:contextualSpacing/>
        <w:jc w:val="both"/>
        <w:rPr>
          <w:rFonts w:ascii="Palatino Linotype" w:eastAsia="Calibri" w:hAnsi="Palatino Linotype" w:cs="Arial"/>
          <w:sz w:val="24"/>
          <w:szCs w:val="24"/>
        </w:rPr>
      </w:pPr>
    </w:p>
    <w:p w:rsidR="000D5AEA" w:rsidRPr="00877AE6" w:rsidRDefault="00B418D3" w:rsidP="00832477">
      <w:pPr>
        <w:numPr>
          <w:ilvl w:val="0"/>
          <w:numId w:val="2"/>
        </w:numPr>
        <w:spacing w:after="0" w:line="360" w:lineRule="auto"/>
        <w:ind w:left="0" w:firstLine="0"/>
        <w:contextualSpacing/>
        <w:jc w:val="both"/>
        <w:rPr>
          <w:rFonts w:ascii="Palatino Linotype" w:eastAsia="Calibri" w:hAnsi="Palatino Linotype" w:cs="Arial"/>
          <w:sz w:val="24"/>
          <w:szCs w:val="24"/>
        </w:rPr>
      </w:pPr>
      <w:r w:rsidRPr="00877AE6">
        <w:rPr>
          <w:rFonts w:ascii="Palatino Linotype" w:eastAsia="Times New Roman" w:hAnsi="Palatino Linotype" w:cs="Arial"/>
          <w:sz w:val="24"/>
          <w:szCs w:val="24"/>
          <w:lang w:val="es-ES_tradnl"/>
        </w:rPr>
        <w:t>He concurrido con mi voto</w:t>
      </w:r>
      <w:r w:rsidR="000D5AEA" w:rsidRPr="00877AE6">
        <w:rPr>
          <w:rFonts w:ascii="Palatino Linotype" w:eastAsia="Times New Roman" w:hAnsi="Palatino Linotype" w:cs="Arial"/>
          <w:sz w:val="24"/>
          <w:szCs w:val="24"/>
          <w:lang w:val="es-ES_tradnl"/>
        </w:rPr>
        <w:t xml:space="preserve"> particular de la presente resolución emitida </w:t>
      </w:r>
      <w:r w:rsidR="000D5AEA" w:rsidRPr="00877AE6">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32477">
        <w:rPr>
          <w:rFonts w:ascii="Palatino Linotype" w:eastAsia="Calibri" w:hAnsi="Palatino Linotype" w:cs="Arial"/>
          <w:sz w:val="24"/>
          <w:szCs w:val="24"/>
        </w:rPr>
        <w:t>N</w:t>
      </w:r>
      <w:r w:rsidR="00A25037">
        <w:rPr>
          <w:rFonts w:ascii="Palatino Linotype" w:eastAsia="Calibri" w:hAnsi="Palatino Linotype" w:cs="Arial"/>
          <w:sz w:val="24"/>
          <w:szCs w:val="24"/>
        </w:rPr>
        <w:t>ovena</w:t>
      </w:r>
      <w:r w:rsidR="001759E6" w:rsidRPr="00C743FE">
        <w:rPr>
          <w:rFonts w:ascii="Palatino Linotype" w:eastAsia="Calibri" w:hAnsi="Palatino Linotype" w:cs="Arial"/>
          <w:sz w:val="24"/>
          <w:szCs w:val="24"/>
        </w:rPr>
        <w:t xml:space="preserve"> </w:t>
      </w:r>
      <w:r w:rsidR="004137A7" w:rsidRPr="00C743FE">
        <w:rPr>
          <w:rFonts w:ascii="Palatino Linotype" w:eastAsia="Calibri" w:hAnsi="Palatino Linotype" w:cs="Arial"/>
          <w:sz w:val="24"/>
          <w:szCs w:val="24"/>
        </w:rPr>
        <w:t xml:space="preserve">Sesión </w:t>
      </w:r>
      <w:r w:rsidR="004B0239" w:rsidRPr="00C743FE">
        <w:rPr>
          <w:rFonts w:ascii="Palatino Linotype" w:eastAsia="Calibri" w:hAnsi="Palatino Linotype" w:cs="Arial"/>
          <w:sz w:val="24"/>
          <w:szCs w:val="24"/>
        </w:rPr>
        <w:t xml:space="preserve">Ordinaria </w:t>
      </w:r>
      <w:r w:rsidR="004137A7" w:rsidRPr="00C743FE">
        <w:rPr>
          <w:rFonts w:ascii="Palatino Linotype" w:eastAsia="Calibri" w:hAnsi="Palatino Linotype" w:cs="Arial"/>
          <w:sz w:val="24"/>
          <w:szCs w:val="24"/>
        </w:rPr>
        <w:t xml:space="preserve">celebrada el </w:t>
      </w:r>
      <w:r w:rsidR="004B0239" w:rsidRPr="00C743FE">
        <w:rPr>
          <w:rFonts w:ascii="Palatino Linotype" w:eastAsia="Calibri" w:hAnsi="Palatino Linotype" w:cs="Arial"/>
          <w:sz w:val="24"/>
          <w:szCs w:val="24"/>
        </w:rPr>
        <w:t xml:space="preserve">del día </w:t>
      </w:r>
      <w:r w:rsidR="00A25037">
        <w:rPr>
          <w:rFonts w:ascii="Palatino Linotype" w:eastAsia="Calibri" w:hAnsi="Palatino Linotype" w:cs="Arial"/>
          <w:sz w:val="24"/>
          <w:szCs w:val="24"/>
        </w:rPr>
        <w:t>seis</w:t>
      </w:r>
      <w:r w:rsidR="004B0239" w:rsidRPr="00C743FE">
        <w:rPr>
          <w:rFonts w:ascii="Palatino Linotype" w:eastAsia="Calibri" w:hAnsi="Palatino Linotype" w:cs="Arial"/>
          <w:sz w:val="24"/>
          <w:szCs w:val="24"/>
        </w:rPr>
        <w:t xml:space="preserve"> </w:t>
      </w:r>
      <w:r w:rsidR="005E38D6" w:rsidRPr="00C743FE">
        <w:rPr>
          <w:rFonts w:ascii="Palatino Linotype" w:eastAsia="Calibri" w:hAnsi="Palatino Linotype" w:cs="Arial"/>
          <w:sz w:val="24"/>
          <w:szCs w:val="24"/>
        </w:rPr>
        <w:t>(</w:t>
      </w:r>
      <w:r w:rsidR="00A25037">
        <w:rPr>
          <w:rFonts w:ascii="Palatino Linotype" w:eastAsia="Calibri" w:hAnsi="Palatino Linotype" w:cs="Arial"/>
          <w:sz w:val="24"/>
          <w:szCs w:val="24"/>
        </w:rPr>
        <w:t>06</w:t>
      </w:r>
      <w:r w:rsidR="004137A7" w:rsidRPr="00C743FE">
        <w:rPr>
          <w:rFonts w:ascii="Palatino Linotype" w:eastAsia="Calibri" w:hAnsi="Palatino Linotype" w:cs="Arial"/>
          <w:sz w:val="24"/>
          <w:szCs w:val="24"/>
        </w:rPr>
        <w:t>)</w:t>
      </w:r>
      <w:r w:rsidR="004B0239" w:rsidRPr="00877AE6">
        <w:rPr>
          <w:rFonts w:ascii="Palatino Linotype" w:eastAsia="Calibri" w:hAnsi="Palatino Linotype" w:cs="Arial"/>
          <w:sz w:val="24"/>
          <w:szCs w:val="24"/>
        </w:rPr>
        <w:t xml:space="preserve"> de</w:t>
      </w:r>
      <w:r w:rsidR="004137A7" w:rsidRPr="00877AE6">
        <w:rPr>
          <w:rFonts w:ascii="Palatino Linotype" w:eastAsia="Calibri" w:hAnsi="Palatino Linotype" w:cs="Arial"/>
          <w:sz w:val="24"/>
          <w:szCs w:val="24"/>
        </w:rPr>
        <w:t xml:space="preserve"> </w:t>
      </w:r>
      <w:r w:rsidR="00A25037">
        <w:rPr>
          <w:rFonts w:ascii="Palatino Linotype" w:eastAsia="Calibri" w:hAnsi="Palatino Linotype" w:cs="Arial"/>
          <w:sz w:val="24"/>
          <w:szCs w:val="24"/>
        </w:rPr>
        <w:t>marzo</w:t>
      </w:r>
      <w:r w:rsidR="00656A65">
        <w:rPr>
          <w:rFonts w:ascii="Palatino Linotype" w:eastAsia="Calibri" w:hAnsi="Palatino Linotype" w:cs="Arial"/>
          <w:sz w:val="24"/>
          <w:szCs w:val="24"/>
        </w:rPr>
        <w:t xml:space="preserve"> del año dos mil </w:t>
      </w:r>
      <w:r w:rsidR="00A25037">
        <w:rPr>
          <w:rFonts w:ascii="Palatino Linotype" w:eastAsia="Calibri" w:hAnsi="Palatino Linotype" w:cs="Arial"/>
          <w:sz w:val="24"/>
          <w:szCs w:val="24"/>
        </w:rPr>
        <w:t>dieci</w:t>
      </w:r>
      <w:r w:rsidR="00656A65">
        <w:rPr>
          <w:rFonts w:ascii="Palatino Linotype" w:eastAsia="Calibri" w:hAnsi="Palatino Linotype" w:cs="Arial"/>
          <w:sz w:val="24"/>
          <w:szCs w:val="24"/>
        </w:rPr>
        <w:t>nueve</w:t>
      </w:r>
      <w:r w:rsidR="004B0239" w:rsidRPr="00877AE6">
        <w:rPr>
          <w:rFonts w:ascii="Palatino Linotype" w:eastAsia="Calibri" w:hAnsi="Palatino Linotype" w:cs="Arial"/>
          <w:sz w:val="24"/>
          <w:szCs w:val="24"/>
        </w:rPr>
        <w:t>, en el recurso de revisión</w:t>
      </w:r>
      <w:r w:rsidR="00A25037">
        <w:rPr>
          <w:rFonts w:ascii="Palatino Linotype" w:eastAsia="Calibri" w:hAnsi="Palatino Linotype" w:cs="Arial"/>
          <w:sz w:val="24"/>
          <w:szCs w:val="24"/>
        </w:rPr>
        <w:t xml:space="preserve"> escrito</w:t>
      </w:r>
      <w:r w:rsidR="000D5AEA" w:rsidRPr="00877AE6">
        <w:rPr>
          <w:rFonts w:ascii="Palatino Linotype" w:eastAsia="Calibri" w:hAnsi="Palatino Linotype" w:cs="Arial"/>
          <w:sz w:val="24"/>
          <w:szCs w:val="24"/>
        </w:rPr>
        <w:t xml:space="preserve"> interpuesto </w:t>
      </w:r>
      <w:r w:rsidR="004B0239" w:rsidRPr="00877AE6">
        <w:rPr>
          <w:rFonts w:ascii="Palatino Linotype" w:eastAsia="Calibri" w:hAnsi="Palatino Linotype" w:cs="Arial"/>
          <w:sz w:val="24"/>
          <w:szCs w:val="24"/>
        </w:rPr>
        <w:t xml:space="preserve">en contra de </w:t>
      </w:r>
      <w:r w:rsidR="00A25037">
        <w:rPr>
          <w:rFonts w:ascii="Palatino Linotype" w:eastAsia="Calibri" w:hAnsi="Palatino Linotype" w:cs="Arial"/>
          <w:sz w:val="24"/>
          <w:szCs w:val="24"/>
        </w:rPr>
        <w:t>la respuesta</w:t>
      </w:r>
      <w:r w:rsidR="004B0239" w:rsidRPr="00877AE6">
        <w:rPr>
          <w:rFonts w:ascii="Palatino Linotype" w:eastAsia="Calibri" w:hAnsi="Palatino Linotype" w:cs="Arial"/>
          <w:sz w:val="24"/>
          <w:szCs w:val="24"/>
        </w:rPr>
        <w:t xml:space="preserve"> de</w:t>
      </w:r>
      <w:r w:rsidR="00A25037">
        <w:rPr>
          <w:rFonts w:ascii="Palatino Linotype" w:eastAsia="Calibri" w:hAnsi="Palatino Linotype" w:cs="Arial"/>
          <w:sz w:val="24"/>
          <w:szCs w:val="24"/>
        </w:rPr>
        <w:t xml:space="preserve"> </w:t>
      </w:r>
      <w:r w:rsidR="004B0239" w:rsidRPr="00877AE6">
        <w:rPr>
          <w:rFonts w:ascii="Palatino Linotype" w:eastAsia="Calibri" w:hAnsi="Palatino Linotype" w:cs="Arial"/>
          <w:sz w:val="24"/>
          <w:szCs w:val="24"/>
        </w:rPr>
        <w:t>l</w:t>
      </w:r>
      <w:r w:rsidR="00A25037">
        <w:rPr>
          <w:rFonts w:ascii="Palatino Linotype" w:eastAsia="Calibri" w:hAnsi="Palatino Linotype" w:cs="Arial"/>
          <w:sz w:val="24"/>
          <w:szCs w:val="24"/>
        </w:rPr>
        <w:t>a</w:t>
      </w:r>
      <w:r w:rsidR="00E469EB" w:rsidRPr="00877AE6">
        <w:rPr>
          <w:rFonts w:ascii="Palatino Linotype" w:eastAsia="Times New Roman" w:hAnsi="Palatino Linotype" w:cs="Arial"/>
          <w:b/>
          <w:sz w:val="24"/>
          <w:szCs w:val="24"/>
          <w:lang w:val="es-ES" w:eastAsia="es-ES"/>
        </w:rPr>
        <w:t xml:space="preserve"> </w:t>
      </w:r>
      <w:r w:rsidR="00832477">
        <w:rPr>
          <w:rFonts w:ascii="Palatino Linotype" w:hAnsi="Palatino Linotype" w:cs="Arial"/>
          <w:b/>
          <w:sz w:val="24"/>
          <w:szCs w:val="24"/>
        </w:rPr>
        <w:t>Universidad Politécnica del Valle de Toluca</w:t>
      </w:r>
      <w:r w:rsidR="00E469EB" w:rsidRPr="00877AE6">
        <w:rPr>
          <w:rFonts w:ascii="Palatino Linotype" w:eastAsia="Times New Roman" w:hAnsi="Palatino Linotype" w:cs="Arial"/>
          <w:b/>
          <w:sz w:val="24"/>
          <w:szCs w:val="24"/>
          <w:lang w:val="es-ES" w:eastAsia="es-ES"/>
        </w:rPr>
        <w:t>,</w:t>
      </w:r>
      <w:r w:rsidR="000D5AEA" w:rsidRPr="00877AE6">
        <w:rPr>
          <w:rFonts w:ascii="Palatino Linotype" w:eastAsia="Calibri" w:hAnsi="Palatino Linotype" w:cs="Arial"/>
          <w:b/>
          <w:sz w:val="24"/>
          <w:szCs w:val="24"/>
        </w:rPr>
        <w:t xml:space="preserve"> </w:t>
      </w:r>
      <w:r w:rsidR="000D5AEA" w:rsidRPr="00877AE6">
        <w:rPr>
          <w:rFonts w:ascii="Palatino Linotype" w:eastAsia="Calibri" w:hAnsi="Palatino Linotype" w:cs="Arial"/>
          <w:sz w:val="24"/>
          <w:szCs w:val="24"/>
        </w:rPr>
        <w:t>pro</w:t>
      </w:r>
      <w:r w:rsidR="00902FFF" w:rsidRPr="00877AE6">
        <w:rPr>
          <w:rFonts w:ascii="Palatino Linotype" w:eastAsia="Calibri" w:hAnsi="Palatino Linotype" w:cs="Arial"/>
          <w:sz w:val="24"/>
          <w:szCs w:val="24"/>
        </w:rPr>
        <w:t xml:space="preserve">cedimiento que le fue asignado </w:t>
      </w:r>
      <w:r w:rsidR="00581E2F" w:rsidRPr="00877AE6">
        <w:rPr>
          <w:rFonts w:ascii="Palatino Linotype" w:eastAsia="Calibri" w:hAnsi="Palatino Linotype" w:cs="Arial"/>
          <w:sz w:val="24"/>
          <w:szCs w:val="24"/>
        </w:rPr>
        <w:t>e</w:t>
      </w:r>
      <w:r w:rsidR="000D5AEA" w:rsidRPr="00877AE6">
        <w:rPr>
          <w:rFonts w:ascii="Palatino Linotype" w:eastAsia="Calibri" w:hAnsi="Palatino Linotype" w:cs="Arial"/>
          <w:sz w:val="24"/>
          <w:szCs w:val="24"/>
        </w:rPr>
        <w:t>l número</w:t>
      </w:r>
      <w:r w:rsidR="004B0239" w:rsidRPr="00877AE6">
        <w:rPr>
          <w:rFonts w:ascii="Palatino Linotype" w:eastAsia="Calibri" w:hAnsi="Palatino Linotype" w:cs="Arial"/>
          <w:sz w:val="24"/>
          <w:szCs w:val="24"/>
        </w:rPr>
        <w:t xml:space="preserve"> de expediente </w:t>
      </w:r>
      <w:r w:rsidR="00832477">
        <w:rPr>
          <w:rFonts w:ascii="Palatino Linotype" w:eastAsia="Calibri" w:hAnsi="Palatino Linotype" w:cs="Arial"/>
          <w:b/>
          <w:sz w:val="24"/>
          <w:szCs w:val="24"/>
        </w:rPr>
        <w:t>00177/INFOEM/IP/RR/2019</w:t>
      </w:r>
      <w:r w:rsidR="000D5AEA" w:rsidRPr="00877AE6">
        <w:rPr>
          <w:rFonts w:ascii="Palatino Linotype" w:eastAsia="Calibri" w:hAnsi="Palatino Linotype" w:cs="Arial"/>
          <w:b/>
          <w:sz w:val="24"/>
          <w:szCs w:val="24"/>
        </w:rPr>
        <w:t>.</w:t>
      </w:r>
    </w:p>
    <w:p w:rsidR="000D5AEA" w:rsidRPr="00877AE6" w:rsidRDefault="000D5AEA" w:rsidP="000D5AEA">
      <w:pPr>
        <w:spacing w:after="0" w:line="360" w:lineRule="auto"/>
        <w:ind w:left="426"/>
        <w:contextualSpacing/>
        <w:jc w:val="both"/>
        <w:rPr>
          <w:rFonts w:ascii="Palatino Linotype" w:eastAsia="Calibri" w:hAnsi="Palatino Linotype" w:cs="Arial"/>
          <w:sz w:val="24"/>
          <w:szCs w:val="24"/>
        </w:rPr>
      </w:pPr>
    </w:p>
    <w:p w:rsidR="00832477" w:rsidRPr="00A74966" w:rsidRDefault="000D5AEA" w:rsidP="00BD43D5">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A74966">
        <w:rPr>
          <w:rFonts w:ascii="Palatino Linotype" w:eastAsia="Calibri" w:hAnsi="Palatino Linotype" w:cs="Arial"/>
          <w:sz w:val="24"/>
          <w:szCs w:val="24"/>
        </w:rPr>
        <w:t>L</w:t>
      </w:r>
      <w:r w:rsidR="004B0239" w:rsidRPr="00A74966">
        <w:rPr>
          <w:rFonts w:ascii="Palatino Linotype" w:eastAsia="Calibri" w:hAnsi="Palatino Linotype" w:cs="Arial"/>
          <w:sz w:val="24"/>
          <w:szCs w:val="24"/>
        </w:rPr>
        <w:t xml:space="preserve">a resolución </w:t>
      </w:r>
      <w:r w:rsidR="00B87397" w:rsidRPr="00A74966">
        <w:rPr>
          <w:rFonts w:ascii="Palatino Linotype" w:eastAsia="Calibri" w:hAnsi="Palatino Linotype" w:cs="Arial"/>
          <w:sz w:val="24"/>
          <w:szCs w:val="24"/>
        </w:rPr>
        <w:t>determinó</w:t>
      </w:r>
      <w:r w:rsidR="00362134" w:rsidRPr="00A74966">
        <w:rPr>
          <w:rFonts w:ascii="Palatino Linotype" w:hAnsi="Palatino Linotype" w:cs="Arial"/>
          <w:sz w:val="24"/>
          <w:szCs w:val="24"/>
          <w:lang w:val="es-ES_tradnl"/>
        </w:rPr>
        <w:t xml:space="preserve">, </w:t>
      </w:r>
      <w:r w:rsidR="00832477" w:rsidRPr="00A74966">
        <w:rPr>
          <w:rFonts w:ascii="Palatino Linotype" w:hAnsi="Palatino Linotype" w:cs="Arial"/>
          <w:sz w:val="24"/>
          <w:szCs w:val="24"/>
          <w:lang w:val="es-ES_tradnl"/>
        </w:rPr>
        <w:t>confirmar</w:t>
      </w:r>
      <w:r w:rsidR="00CD56E2" w:rsidRPr="00A74966">
        <w:rPr>
          <w:rFonts w:ascii="Palatino Linotype" w:hAnsi="Palatino Linotype" w:cs="Arial"/>
          <w:sz w:val="24"/>
          <w:szCs w:val="24"/>
          <w:lang w:val="es-ES_tradnl"/>
        </w:rPr>
        <w:t xml:space="preserve"> el recurso de revisión, </w:t>
      </w:r>
      <w:r w:rsidR="004B3295" w:rsidRPr="00A74966">
        <w:rPr>
          <w:rFonts w:ascii="Palatino Linotype" w:hAnsi="Palatino Linotype" w:cs="Arial"/>
          <w:sz w:val="24"/>
          <w:szCs w:val="24"/>
          <w:lang w:val="es-ES_tradnl"/>
        </w:rPr>
        <w:t>por</w:t>
      </w:r>
      <w:r w:rsidR="00832477" w:rsidRPr="00A74966">
        <w:rPr>
          <w:rFonts w:ascii="Palatino Linotype" w:hAnsi="Palatino Linotype" w:cs="Arial"/>
          <w:sz w:val="24"/>
          <w:szCs w:val="24"/>
          <w:lang w:val="es-ES_tradnl"/>
        </w:rPr>
        <w:t xml:space="preserve"> resultar infundadas las razones o motivos de inconformidad planteadas por el recurrente; asimismo</w:t>
      </w:r>
      <w:r w:rsidR="004B3295" w:rsidRPr="00A74966">
        <w:rPr>
          <w:rFonts w:ascii="Palatino Linotype" w:hAnsi="Palatino Linotype" w:cs="Arial"/>
          <w:sz w:val="24"/>
          <w:szCs w:val="24"/>
          <w:lang w:val="es-ES_tradnl"/>
        </w:rPr>
        <w:t xml:space="preserve"> el mismo quedó sin materia</w:t>
      </w:r>
      <w:r w:rsidR="00CC4F91" w:rsidRPr="00A74966">
        <w:rPr>
          <w:rFonts w:ascii="Palatino Linotype" w:hAnsi="Palatino Linotype" w:cs="Arial"/>
          <w:sz w:val="24"/>
          <w:szCs w:val="24"/>
          <w:lang w:val="es-ES_tradnl"/>
        </w:rPr>
        <w:t xml:space="preserve">, </w:t>
      </w:r>
      <w:r w:rsidR="00832477" w:rsidRPr="00A74966">
        <w:rPr>
          <w:rFonts w:ascii="Palatino Linotype" w:hAnsi="Palatino Linotype" w:cs="Arial"/>
          <w:sz w:val="24"/>
          <w:szCs w:val="24"/>
          <w:lang w:val="es-ES_tradnl"/>
        </w:rPr>
        <w:t xml:space="preserve">porque la Ponencia Resolutora estimo que el Sujeto Obligado </w:t>
      </w:r>
      <w:r w:rsidR="00832477" w:rsidRPr="00A74966">
        <w:rPr>
          <w:rFonts w:ascii="Palatino Linotype" w:hAnsi="Palatino Linotype" w:cs="Arial"/>
          <w:sz w:val="24"/>
          <w:szCs w:val="24"/>
        </w:rPr>
        <w:t xml:space="preserve">atendió la solicitud de información que dio origen al medio de impugnación que nos ocupa, privilegiando el principio de máxima publicidad </w:t>
      </w:r>
      <w:r w:rsidR="00A74966" w:rsidRPr="00A74966">
        <w:rPr>
          <w:rFonts w:ascii="Palatino Linotype" w:hAnsi="Palatino Linotype" w:cs="Arial"/>
          <w:sz w:val="24"/>
          <w:szCs w:val="24"/>
        </w:rPr>
        <w:t>señalando para tal efecto que no cuenta con información al respecto</w:t>
      </w:r>
      <w:r w:rsidR="00A74966">
        <w:rPr>
          <w:rFonts w:ascii="Palatino Linotype" w:hAnsi="Palatino Linotype" w:cs="Arial"/>
          <w:sz w:val="24"/>
          <w:szCs w:val="24"/>
        </w:rPr>
        <w:t>.</w:t>
      </w:r>
    </w:p>
    <w:p w:rsidR="00A74966" w:rsidRDefault="00A74966" w:rsidP="00A74966">
      <w:pPr>
        <w:pStyle w:val="Prrafodelista"/>
        <w:rPr>
          <w:rFonts w:ascii="Palatino Linotype" w:hAnsi="Palatino Linotype" w:cs="Arial"/>
          <w:sz w:val="24"/>
          <w:szCs w:val="24"/>
          <w:lang w:val="es-ES_tradnl"/>
        </w:rPr>
      </w:pPr>
    </w:p>
    <w:p w:rsidR="00E23078" w:rsidRPr="00E23078" w:rsidRDefault="00A74966" w:rsidP="00832477">
      <w:pPr>
        <w:numPr>
          <w:ilvl w:val="0"/>
          <w:numId w:val="2"/>
        </w:numPr>
        <w:spacing w:after="0" w:line="360" w:lineRule="auto"/>
        <w:ind w:left="0" w:firstLine="0"/>
        <w:contextualSpacing/>
        <w:jc w:val="both"/>
        <w:rPr>
          <w:rFonts w:ascii="Palatino Linotype" w:hAnsi="Palatino Linotype"/>
          <w:sz w:val="24"/>
          <w:szCs w:val="24"/>
        </w:rPr>
      </w:pPr>
      <w:r>
        <w:rPr>
          <w:rFonts w:ascii="Palatino Linotype" w:hAnsi="Palatino Linotype" w:cs="Arial"/>
          <w:sz w:val="24"/>
          <w:szCs w:val="24"/>
          <w:lang w:val="es-ES_tradnl"/>
        </w:rPr>
        <w:t xml:space="preserve">No obstante lo anterior, el Sujeto Obligado no </w:t>
      </w:r>
      <w:r w:rsidR="00CC4F91">
        <w:rPr>
          <w:rFonts w:ascii="Palatino Linotype" w:hAnsi="Palatino Linotype" w:cs="Arial"/>
          <w:sz w:val="24"/>
          <w:szCs w:val="24"/>
          <w:lang w:val="es-ES_tradnl"/>
        </w:rPr>
        <w:t>dejó plena constancia de la búsqueda exhaustiva y razonable</w:t>
      </w:r>
      <w:r>
        <w:rPr>
          <w:rFonts w:ascii="Palatino Linotype" w:hAnsi="Palatino Linotype" w:cs="Arial"/>
          <w:sz w:val="24"/>
          <w:szCs w:val="24"/>
          <w:lang w:val="es-ES_tradnl"/>
        </w:rPr>
        <w:t>, así como</w:t>
      </w:r>
      <w:r w:rsidR="00CC4F91">
        <w:rPr>
          <w:rFonts w:ascii="Palatino Linotype" w:hAnsi="Palatino Linotype" w:cs="Arial"/>
          <w:sz w:val="24"/>
          <w:szCs w:val="24"/>
          <w:lang w:val="es-ES_tradnl"/>
        </w:rPr>
        <w:t xml:space="preserve"> las constancias que obran en el Sistema de Acceso a la Información Mexiquense (SAIMEX), no existe evidencia de las acciones encaminadas a la obtenció</w:t>
      </w:r>
      <w:r>
        <w:rPr>
          <w:rFonts w:ascii="Palatino Linotype" w:hAnsi="Palatino Linotype" w:cs="Arial"/>
          <w:sz w:val="24"/>
          <w:szCs w:val="24"/>
          <w:lang w:val="es-ES_tradnl"/>
        </w:rPr>
        <w:t>n de la información solicitada.</w:t>
      </w:r>
    </w:p>
    <w:p w:rsidR="00E23078" w:rsidRDefault="00E23078" w:rsidP="00E23078">
      <w:pPr>
        <w:pStyle w:val="Prrafodelista"/>
        <w:rPr>
          <w:rFonts w:ascii="Palatino Linotype" w:hAnsi="Palatino Linotype" w:cs="Arial"/>
          <w:sz w:val="24"/>
          <w:szCs w:val="24"/>
          <w:lang w:val="es-ES_tradnl"/>
        </w:rPr>
      </w:pPr>
    </w:p>
    <w:p w:rsidR="004E1D27" w:rsidRDefault="004E1D27" w:rsidP="00A74966">
      <w:pPr>
        <w:numPr>
          <w:ilvl w:val="0"/>
          <w:numId w:val="2"/>
        </w:numPr>
        <w:spacing w:after="0" w:line="360" w:lineRule="auto"/>
        <w:ind w:left="0" w:firstLine="0"/>
        <w:contextualSpacing/>
        <w:jc w:val="both"/>
        <w:rPr>
          <w:rFonts w:ascii="Palatino Linotype" w:hAnsi="Palatino Linotype" w:cs="Arial"/>
          <w:sz w:val="24"/>
          <w:szCs w:val="24"/>
        </w:rPr>
      </w:pPr>
      <w:r w:rsidRPr="004E1D27">
        <w:rPr>
          <w:rFonts w:ascii="Palatino Linotype" w:hAnsi="Palatino Linotype" w:cs="Arial"/>
          <w:sz w:val="24"/>
          <w:szCs w:val="24"/>
          <w:lang w:val="es-ES_tradnl"/>
        </w:rPr>
        <w:lastRenderedPageBreak/>
        <w:t>Por</w:t>
      </w:r>
      <w:r w:rsidRPr="00B10C1A">
        <w:rPr>
          <w:rFonts w:ascii="Palatino Linotype"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w:t>
      </w:r>
      <w:r>
        <w:rPr>
          <w:rFonts w:ascii="Palatino Linotype" w:hAnsi="Palatino Linotype" w:cs="Arial"/>
          <w:sz w:val="24"/>
          <w:szCs w:val="24"/>
        </w:rPr>
        <w:t>v</w:t>
      </w:r>
      <w:r w:rsidRPr="00B10C1A">
        <w:rPr>
          <w:rFonts w:ascii="Palatino Linotype" w:hAnsi="Palatino Linotype" w:cs="Arial"/>
          <w:sz w:val="24"/>
          <w:szCs w:val="24"/>
        </w:rPr>
        <w:t xml:space="preserve">oto particular. </w:t>
      </w:r>
    </w:p>
    <w:p w:rsidR="00605C7F" w:rsidRDefault="00605C7F" w:rsidP="00605C7F">
      <w:pPr>
        <w:spacing w:after="0" w:line="360" w:lineRule="auto"/>
        <w:contextualSpacing/>
        <w:jc w:val="both"/>
        <w:rPr>
          <w:rFonts w:ascii="Palatino Linotype" w:hAnsi="Palatino Linotype" w:cs="Arial"/>
          <w:sz w:val="24"/>
          <w:szCs w:val="24"/>
        </w:rPr>
      </w:pPr>
    </w:p>
    <w:p w:rsidR="009C382C" w:rsidRPr="00877AE6" w:rsidRDefault="009C382C" w:rsidP="00B5044C">
      <w:pPr>
        <w:pStyle w:val="Ttulo1"/>
        <w:numPr>
          <w:ilvl w:val="0"/>
          <w:numId w:val="3"/>
        </w:numPr>
        <w:ind w:hanging="654"/>
        <w:rPr>
          <w:rFonts w:ascii="Palatino Linotype" w:eastAsia="Calibri" w:hAnsi="Palatino Linotype"/>
          <w:b/>
          <w:color w:val="auto"/>
          <w:sz w:val="24"/>
          <w:szCs w:val="24"/>
          <w:lang w:val="es-ES"/>
        </w:rPr>
      </w:pPr>
      <w:bookmarkStart w:id="2" w:name="_Toc3203376"/>
      <w:r w:rsidRPr="00877AE6">
        <w:rPr>
          <w:rFonts w:ascii="Palatino Linotype" w:eastAsia="Calibri" w:hAnsi="Palatino Linotype"/>
          <w:b/>
          <w:color w:val="auto"/>
          <w:sz w:val="24"/>
          <w:szCs w:val="24"/>
          <w:lang w:val="es-ES"/>
        </w:rPr>
        <w:t>De los requerimientos planteados en el recurso de revisión.</w:t>
      </w:r>
      <w:bookmarkEnd w:id="2"/>
    </w:p>
    <w:p w:rsidR="001744A9" w:rsidRPr="00877AE6" w:rsidRDefault="001744A9" w:rsidP="001744A9">
      <w:pPr>
        <w:pStyle w:val="Prrafodelista"/>
        <w:rPr>
          <w:rFonts w:ascii="Palatino Linotype" w:eastAsia="Calibri" w:hAnsi="Palatino Linotype" w:cs="Arial"/>
          <w:sz w:val="24"/>
          <w:szCs w:val="24"/>
          <w:lang w:val="es-ES"/>
        </w:rPr>
      </w:pPr>
    </w:p>
    <w:p w:rsidR="00362134" w:rsidRPr="00CC4F91" w:rsidRDefault="009C382C" w:rsidP="00766BDF">
      <w:pPr>
        <w:numPr>
          <w:ilvl w:val="0"/>
          <w:numId w:val="2"/>
        </w:numPr>
        <w:spacing w:after="0" w:line="360" w:lineRule="auto"/>
        <w:ind w:left="0" w:firstLine="0"/>
        <w:contextualSpacing/>
        <w:jc w:val="both"/>
        <w:rPr>
          <w:rFonts w:ascii="Palatino Linotype" w:hAnsi="Palatino Linotype"/>
          <w:sz w:val="24"/>
          <w:szCs w:val="24"/>
        </w:rPr>
      </w:pPr>
      <w:r w:rsidRPr="00877AE6">
        <w:rPr>
          <w:rFonts w:ascii="Palatino Linotype" w:eastAsia="Calibri" w:hAnsi="Palatino Linotype" w:cs="Arial"/>
          <w:sz w:val="24"/>
          <w:szCs w:val="24"/>
          <w:lang w:val="es-ES"/>
        </w:rPr>
        <w:t xml:space="preserve">En </w:t>
      </w:r>
      <w:r w:rsidRPr="00877AE6">
        <w:rPr>
          <w:rFonts w:ascii="Palatino Linotype" w:eastAsia="Calibri" w:hAnsi="Palatino Linotype" w:cs="Times New Roman"/>
          <w:sz w:val="24"/>
          <w:szCs w:val="24"/>
        </w:rPr>
        <w:t>ejercicio del derecho constitucional que le asiste al particular</w:t>
      </w:r>
      <w:r w:rsidR="00032D26" w:rsidRPr="00877AE6">
        <w:rPr>
          <w:rFonts w:ascii="Palatino Linotype" w:eastAsia="Calibri" w:hAnsi="Palatino Linotype" w:cs="Times New Roman"/>
          <w:sz w:val="24"/>
          <w:szCs w:val="24"/>
        </w:rPr>
        <w:t>,</w:t>
      </w:r>
      <w:r w:rsidRPr="00877AE6">
        <w:rPr>
          <w:rFonts w:ascii="Palatino Linotype" w:eastAsia="Calibri" w:hAnsi="Palatino Linotype" w:cs="Times New Roman"/>
          <w:sz w:val="24"/>
          <w:szCs w:val="24"/>
        </w:rPr>
        <w:t xml:space="preserve"> formuló solicitud de información dirigida hacia </w:t>
      </w:r>
      <w:r w:rsidR="00CC4F91">
        <w:rPr>
          <w:rFonts w:ascii="Palatino Linotype" w:eastAsia="Calibri" w:hAnsi="Palatino Linotype" w:cs="Times New Roman"/>
          <w:sz w:val="24"/>
          <w:szCs w:val="24"/>
        </w:rPr>
        <w:t>la</w:t>
      </w:r>
      <w:r w:rsidRPr="00877AE6">
        <w:rPr>
          <w:rFonts w:ascii="Palatino Linotype" w:eastAsia="Calibri" w:hAnsi="Palatino Linotype" w:cs="Times New Roman"/>
          <w:sz w:val="24"/>
          <w:szCs w:val="24"/>
        </w:rPr>
        <w:t xml:space="preserve"> </w:t>
      </w:r>
      <w:r w:rsidR="00832477">
        <w:rPr>
          <w:rFonts w:ascii="Palatino Linotype" w:hAnsi="Palatino Linotype" w:cs="Arial"/>
          <w:b/>
          <w:szCs w:val="20"/>
        </w:rPr>
        <w:t>Universidad Politécnica del Valle de Toluca</w:t>
      </w:r>
      <w:r w:rsidRPr="00877AE6">
        <w:rPr>
          <w:rFonts w:ascii="Palatino Linotype" w:eastAsia="Calibri" w:hAnsi="Palatino Linotype" w:cs="Times New Roman"/>
          <w:sz w:val="24"/>
          <w:szCs w:val="24"/>
        </w:rPr>
        <w:t xml:space="preserve">, en </w:t>
      </w:r>
      <w:r w:rsidR="00CC4F91">
        <w:rPr>
          <w:rFonts w:ascii="Palatino Linotype" w:eastAsia="Calibri" w:hAnsi="Palatino Linotype" w:cs="Times New Roman"/>
          <w:sz w:val="24"/>
          <w:szCs w:val="24"/>
        </w:rPr>
        <w:t xml:space="preserve">la cual requirió la siguiente información: </w:t>
      </w:r>
    </w:p>
    <w:p w:rsidR="00CC4F91" w:rsidRDefault="00D352B5" w:rsidP="00D352B5">
      <w:pPr>
        <w:pStyle w:val="Prrafodelista"/>
        <w:numPr>
          <w:ilvl w:val="0"/>
          <w:numId w:val="47"/>
        </w:numPr>
        <w:spacing w:before="100" w:beforeAutospacing="1" w:after="100" w:afterAutospacing="1" w:line="360" w:lineRule="auto"/>
        <w:contextualSpacing w:val="0"/>
        <w:jc w:val="both"/>
        <w:rPr>
          <w:rFonts w:ascii="Palatino Linotype" w:hAnsi="Palatino Linotype"/>
          <w:b/>
          <w:sz w:val="24"/>
        </w:rPr>
      </w:pPr>
      <w:r w:rsidRPr="00D352B5">
        <w:rPr>
          <w:rFonts w:ascii="Palatino Linotype" w:hAnsi="Palatino Linotype"/>
          <w:b/>
          <w:sz w:val="24"/>
        </w:rPr>
        <w:t>Como se da el proceso de salida, expulsión o baja del Sindicato Institucional</w:t>
      </w:r>
      <w:r w:rsidR="00CC4F91" w:rsidRPr="00D352B5">
        <w:rPr>
          <w:rFonts w:ascii="Palatino Linotype" w:hAnsi="Palatino Linotype"/>
          <w:b/>
          <w:sz w:val="24"/>
        </w:rPr>
        <w:t>.</w:t>
      </w:r>
    </w:p>
    <w:p w:rsidR="00E84C48" w:rsidRPr="00E84C48" w:rsidRDefault="00CC4F91" w:rsidP="00D352B5">
      <w:pPr>
        <w:numPr>
          <w:ilvl w:val="0"/>
          <w:numId w:val="2"/>
        </w:numPr>
        <w:spacing w:after="0" w:line="360" w:lineRule="auto"/>
        <w:ind w:left="0" w:firstLine="0"/>
        <w:contextualSpacing/>
        <w:jc w:val="both"/>
        <w:rPr>
          <w:rFonts w:ascii="Palatino Linotype" w:hAnsi="Palatino Linotype" w:cs="Arial"/>
          <w:sz w:val="24"/>
          <w:szCs w:val="24"/>
        </w:rPr>
      </w:pPr>
      <w:r>
        <w:rPr>
          <w:rFonts w:ascii="Palatino Linotype" w:eastAsia="Calibri" w:hAnsi="Palatino Linotype" w:cs="Arial"/>
          <w:sz w:val="24"/>
          <w:szCs w:val="24"/>
          <w:lang w:val="es-ES"/>
        </w:rPr>
        <w:t xml:space="preserve">En respuesta a los planteamientos formulados, el </w:t>
      </w:r>
      <w:r w:rsidR="00D352B5" w:rsidRPr="00D352B5">
        <w:rPr>
          <w:rFonts w:ascii="Palatino Linotype" w:eastAsia="Calibri" w:hAnsi="Palatino Linotype" w:cs="Arial"/>
          <w:sz w:val="24"/>
          <w:szCs w:val="24"/>
          <w:lang w:val="es-ES"/>
        </w:rPr>
        <w:t>Sujeto Obligado</w:t>
      </w:r>
      <w:r w:rsidR="00D352B5">
        <w:rPr>
          <w:rFonts w:ascii="Palatino Linotype" w:eastAsia="Calibri" w:hAnsi="Palatino Linotype" w:cs="Arial"/>
          <w:b/>
          <w:sz w:val="24"/>
          <w:szCs w:val="24"/>
          <w:lang w:val="es-ES"/>
        </w:rPr>
        <w:t xml:space="preserve"> </w:t>
      </w:r>
      <w:r>
        <w:rPr>
          <w:rFonts w:ascii="Palatino Linotype" w:eastAsia="Calibri" w:hAnsi="Palatino Linotype" w:cs="Arial"/>
          <w:sz w:val="24"/>
          <w:szCs w:val="24"/>
          <w:lang w:val="es-ES"/>
        </w:rPr>
        <w:t xml:space="preserve">manifestó que </w:t>
      </w:r>
      <w:r w:rsidR="00D352B5" w:rsidRPr="00D352B5">
        <w:rPr>
          <w:rFonts w:ascii="Palatino Linotype" w:eastAsia="Calibri" w:hAnsi="Palatino Linotype" w:cs="Arial"/>
          <w:sz w:val="24"/>
          <w:szCs w:val="24"/>
          <w:lang w:val="es-ES"/>
        </w:rPr>
        <w:t>manifestando que derivado de una búsqueda exhaustiva y razonable no se generó, ni se posee o administra ningún documento en el que pudiera constar la información solicitada.</w:t>
      </w:r>
    </w:p>
    <w:p w:rsidR="00E84C48" w:rsidRPr="00E84C48" w:rsidRDefault="00E84C48" w:rsidP="00E84C48">
      <w:pPr>
        <w:spacing w:after="0" w:line="360" w:lineRule="auto"/>
        <w:ind w:left="360"/>
        <w:contextualSpacing/>
        <w:jc w:val="both"/>
        <w:rPr>
          <w:rFonts w:ascii="Palatino Linotype" w:hAnsi="Palatino Linotype" w:cs="Arial"/>
          <w:sz w:val="24"/>
          <w:szCs w:val="24"/>
        </w:rPr>
      </w:pPr>
    </w:p>
    <w:p w:rsidR="00A766F3" w:rsidRDefault="00E84C48" w:rsidP="00D352B5">
      <w:pPr>
        <w:numPr>
          <w:ilvl w:val="0"/>
          <w:numId w:val="2"/>
        </w:numPr>
        <w:spacing w:after="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 xml:space="preserve">Inconforme con la respuesta, el particular interpuso el recurso de revisión que ahora se resuelve </w:t>
      </w:r>
    </w:p>
    <w:p w:rsidR="00D352B5" w:rsidRDefault="00D352B5" w:rsidP="00D352B5">
      <w:pPr>
        <w:pStyle w:val="Prrafodelista"/>
        <w:rPr>
          <w:rFonts w:ascii="Palatino Linotype" w:hAnsi="Palatino Linotype" w:cs="Arial"/>
          <w:sz w:val="24"/>
          <w:szCs w:val="24"/>
        </w:rPr>
      </w:pPr>
    </w:p>
    <w:p w:rsidR="00A766F3" w:rsidRPr="00877AE6" w:rsidRDefault="00A766F3" w:rsidP="00A13BDF">
      <w:pPr>
        <w:spacing w:line="360" w:lineRule="auto"/>
        <w:ind w:left="709"/>
        <w:rPr>
          <w:rFonts w:ascii="Palatino Linotype" w:hAnsi="Palatino Linotype" w:cs="Arial"/>
          <w:b/>
          <w:sz w:val="24"/>
          <w:szCs w:val="24"/>
        </w:rPr>
      </w:pPr>
      <w:r w:rsidRPr="00877AE6">
        <w:rPr>
          <w:rFonts w:ascii="Palatino Linotype" w:hAnsi="Palatino Linotype" w:cs="Arial"/>
          <w:b/>
          <w:sz w:val="24"/>
          <w:szCs w:val="24"/>
        </w:rPr>
        <w:t>a) Acto impugnado.</w:t>
      </w:r>
    </w:p>
    <w:p w:rsidR="00362134" w:rsidRDefault="00A766F3" w:rsidP="00A13BDF">
      <w:pPr>
        <w:spacing w:before="200" w:after="200"/>
        <w:ind w:left="709" w:right="709"/>
        <w:jc w:val="both"/>
        <w:rPr>
          <w:rFonts w:ascii="Palatino Linotype" w:hAnsi="Palatino Linotype" w:cs="Arial"/>
          <w:sz w:val="24"/>
          <w:szCs w:val="24"/>
          <w:lang w:eastAsia="es-MX"/>
        </w:rPr>
      </w:pPr>
      <w:r w:rsidRPr="00877AE6">
        <w:rPr>
          <w:rFonts w:ascii="Palatino Linotype" w:hAnsi="Palatino Linotype"/>
          <w:i/>
          <w:color w:val="000000"/>
          <w:sz w:val="24"/>
          <w:szCs w:val="24"/>
        </w:rPr>
        <w:lastRenderedPageBreak/>
        <w:t>“</w:t>
      </w:r>
      <w:r w:rsidR="00D352B5" w:rsidRPr="00E019D3">
        <w:rPr>
          <w:rFonts w:ascii="Palatino Linotype" w:hAnsi="Palatino Linotype" w:cs="Arial"/>
          <w:i/>
        </w:rPr>
        <w:t>No dan la información.</w:t>
      </w:r>
      <w:r w:rsidR="00362134" w:rsidRPr="00877AE6">
        <w:rPr>
          <w:rFonts w:ascii="Palatino Linotype" w:hAnsi="Palatino Linotype" w:cs="Arial"/>
          <w:i/>
          <w:sz w:val="24"/>
          <w:szCs w:val="24"/>
          <w:lang w:eastAsia="es-MX"/>
        </w:rPr>
        <w:t xml:space="preserve">” </w:t>
      </w:r>
      <w:r w:rsidR="00362134" w:rsidRPr="00877AE6">
        <w:rPr>
          <w:rFonts w:ascii="Palatino Linotype" w:hAnsi="Palatino Linotype" w:cs="Arial"/>
          <w:sz w:val="24"/>
          <w:szCs w:val="24"/>
          <w:lang w:eastAsia="es-MX"/>
        </w:rPr>
        <w:t>(Sic)</w:t>
      </w:r>
    </w:p>
    <w:p w:rsidR="00D352B5" w:rsidRPr="00877AE6" w:rsidRDefault="00D352B5" w:rsidP="00A13BDF">
      <w:pPr>
        <w:spacing w:before="200" w:after="200"/>
        <w:ind w:left="709" w:right="709"/>
        <w:jc w:val="both"/>
        <w:rPr>
          <w:rFonts w:ascii="Palatino Linotype" w:hAnsi="Palatino Linotype" w:cs="Arial"/>
          <w:sz w:val="24"/>
          <w:szCs w:val="24"/>
          <w:lang w:eastAsia="es-MX"/>
        </w:rPr>
      </w:pPr>
    </w:p>
    <w:p w:rsidR="00A766F3" w:rsidRPr="00877AE6" w:rsidRDefault="00A766F3" w:rsidP="00A13BDF">
      <w:pPr>
        <w:spacing w:line="360" w:lineRule="auto"/>
        <w:ind w:left="709"/>
        <w:jc w:val="both"/>
        <w:rPr>
          <w:rFonts w:ascii="Palatino Linotype" w:hAnsi="Palatino Linotype" w:cs="Arial"/>
          <w:b/>
          <w:sz w:val="24"/>
          <w:szCs w:val="24"/>
        </w:rPr>
      </w:pPr>
      <w:r w:rsidRPr="00877AE6">
        <w:rPr>
          <w:rFonts w:ascii="Palatino Linotype" w:hAnsi="Palatino Linotype" w:cs="Arial"/>
          <w:b/>
          <w:sz w:val="24"/>
          <w:szCs w:val="24"/>
        </w:rPr>
        <w:t>b) Motivos de inconformidad.</w:t>
      </w:r>
    </w:p>
    <w:p w:rsidR="00362134" w:rsidRPr="00877AE6" w:rsidRDefault="00D352B5" w:rsidP="00A13BDF">
      <w:pPr>
        <w:spacing w:before="200" w:after="200"/>
        <w:ind w:left="709" w:right="709"/>
        <w:jc w:val="both"/>
        <w:rPr>
          <w:rFonts w:ascii="Palatino Linotype" w:hAnsi="Palatino Linotype" w:cs="Arial"/>
          <w:spacing w:val="-6"/>
          <w:sz w:val="24"/>
          <w:szCs w:val="24"/>
          <w:lang w:eastAsia="es-MX"/>
        </w:rPr>
      </w:pPr>
      <w:r>
        <w:rPr>
          <w:rFonts w:ascii="Palatino Linotype" w:hAnsi="Palatino Linotype" w:cs="Arial"/>
          <w:i/>
        </w:rPr>
        <w:t>“</w:t>
      </w:r>
      <w:r w:rsidRPr="00E019D3">
        <w:rPr>
          <w:rFonts w:ascii="Palatino Linotype" w:hAnsi="Palatino Linotype" w:cs="Arial"/>
          <w:i/>
        </w:rPr>
        <w:t>Queda claro el fundamento legal que el Sindicato tiene sus propios estatutos, si es eso, para no negar la información, hagan que el Sindicato sea Servidor Público Habilitado para no incumplir como es el caso.</w:t>
      </w:r>
      <w:r w:rsidR="00113051">
        <w:rPr>
          <w:rFonts w:ascii="Palatino Linotype" w:hAnsi="Palatino Linotype" w:cs="Arial"/>
          <w:i/>
          <w:sz w:val="24"/>
          <w:szCs w:val="24"/>
          <w:lang w:eastAsia="es-MX"/>
        </w:rPr>
        <w:t>”</w:t>
      </w:r>
      <w:r w:rsidR="00362134" w:rsidRPr="00877AE6">
        <w:rPr>
          <w:rFonts w:ascii="Palatino Linotype" w:hAnsi="Palatino Linotype" w:cs="Arial"/>
          <w:i/>
          <w:spacing w:val="-6"/>
          <w:sz w:val="24"/>
          <w:szCs w:val="24"/>
          <w:lang w:eastAsia="es-MX"/>
        </w:rPr>
        <w:t xml:space="preserve"> </w:t>
      </w:r>
      <w:r w:rsidR="00362134" w:rsidRPr="00877AE6">
        <w:rPr>
          <w:rFonts w:ascii="Palatino Linotype" w:hAnsi="Palatino Linotype" w:cs="Arial"/>
          <w:spacing w:val="-6"/>
          <w:sz w:val="24"/>
          <w:szCs w:val="24"/>
          <w:lang w:eastAsia="es-MX"/>
        </w:rPr>
        <w:t>(Sic)</w:t>
      </w:r>
    </w:p>
    <w:p w:rsidR="00E84C48" w:rsidRPr="00E84C48" w:rsidRDefault="00E84C48" w:rsidP="00E84C48">
      <w:pPr>
        <w:spacing w:after="0" w:line="360" w:lineRule="auto"/>
        <w:ind w:left="360"/>
        <w:contextualSpacing/>
        <w:jc w:val="both"/>
        <w:rPr>
          <w:rFonts w:ascii="Palatino Linotype" w:eastAsia="Calibri" w:hAnsi="Palatino Linotype" w:cs="Arial"/>
          <w:sz w:val="24"/>
          <w:szCs w:val="24"/>
        </w:rPr>
      </w:pPr>
    </w:p>
    <w:p w:rsidR="00877AE6" w:rsidRPr="00877AE6" w:rsidRDefault="00877AE6" w:rsidP="00684788">
      <w:pPr>
        <w:pStyle w:val="Ttulo1"/>
        <w:numPr>
          <w:ilvl w:val="0"/>
          <w:numId w:val="3"/>
        </w:numPr>
        <w:rPr>
          <w:rFonts w:ascii="Palatino Linotype" w:hAnsi="Palatino Linotype"/>
          <w:b/>
          <w:color w:val="000000" w:themeColor="text1"/>
          <w:sz w:val="24"/>
          <w:szCs w:val="24"/>
        </w:rPr>
      </w:pPr>
      <w:bookmarkStart w:id="3" w:name="_Toc3203377"/>
      <w:r w:rsidRPr="00877AE6">
        <w:rPr>
          <w:rFonts w:ascii="Palatino Linotype" w:hAnsi="Palatino Linotype"/>
          <w:b/>
          <w:color w:val="000000" w:themeColor="text1"/>
          <w:sz w:val="24"/>
          <w:szCs w:val="24"/>
        </w:rPr>
        <w:t xml:space="preserve">De la </w:t>
      </w:r>
      <w:r w:rsidR="00A17B5F">
        <w:rPr>
          <w:rFonts w:ascii="Palatino Linotype" w:hAnsi="Palatino Linotype"/>
          <w:b/>
          <w:color w:val="000000" w:themeColor="text1"/>
          <w:sz w:val="24"/>
          <w:szCs w:val="24"/>
        </w:rPr>
        <w:t>acreditación de la debida búsqueda exhaustiva y razonable de la información.</w:t>
      </w:r>
      <w:bookmarkEnd w:id="3"/>
    </w:p>
    <w:p w:rsidR="00877AE6" w:rsidRPr="00877AE6" w:rsidRDefault="00877AE6" w:rsidP="00877AE6">
      <w:pPr>
        <w:spacing w:line="360" w:lineRule="auto"/>
        <w:rPr>
          <w:rFonts w:ascii="Palatino Linotype" w:hAnsi="Palatino Linotype"/>
          <w:color w:val="000000" w:themeColor="text1"/>
          <w:sz w:val="24"/>
          <w:szCs w:val="24"/>
        </w:rPr>
      </w:pPr>
    </w:p>
    <w:p w:rsidR="00A17B5F" w:rsidRDefault="00D352B5" w:rsidP="00D352B5">
      <w:pPr>
        <w:numPr>
          <w:ilvl w:val="0"/>
          <w:numId w:val="2"/>
        </w:numPr>
        <w:spacing w:after="0" w:line="360" w:lineRule="auto"/>
        <w:ind w:left="0" w:firstLine="0"/>
        <w:contextualSpacing/>
        <w:jc w:val="both"/>
        <w:rPr>
          <w:rFonts w:ascii="Palatino Linotype" w:eastAsia="MS Mincho" w:hAnsi="Palatino Linotype" w:cs="Arial"/>
          <w:color w:val="000000" w:themeColor="text1"/>
        </w:rPr>
      </w:pPr>
      <w:r>
        <w:rPr>
          <w:rFonts w:ascii="Palatino Linotype" w:hAnsi="Palatino Linotype" w:cs="Arial"/>
          <w:sz w:val="24"/>
          <w:szCs w:val="24"/>
        </w:rPr>
        <w:t>La Pon</w:t>
      </w:r>
      <w:r w:rsidRPr="00434309">
        <w:rPr>
          <w:rFonts w:ascii="Palatino Linotype" w:hAnsi="Palatino Linotype" w:cs="Arial"/>
          <w:sz w:val="24"/>
          <w:szCs w:val="24"/>
        </w:rPr>
        <w:t>encia R</w:t>
      </w:r>
      <w:r w:rsidR="00434349" w:rsidRPr="00434309">
        <w:rPr>
          <w:rFonts w:ascii="Palatino Linotype" w:hAnsi="Palatino Linotype" w:cs="Arial"/>
          <w:sz w:val="24"/>
          <w:szCs w:val="24"/>
        </w:rPr>
        <w:t xml:space="preserve">esolutora determinó que con los oficios remitidos por el </w:t>
      </w:r>
      <w:r w:rsidRPr="00434309">
        <w:rPr>
          <w:rFonts w:ascii="Palatino Linotype" w:hAnsi="Palatino Linotype" w:cs="Arial"/>
          <w:sz w:val="24"/>
          <w:szCs w:val="24"/>
        </w:rPr>
        <w:t>Sujeto Obligado</w:t>
      </w:r>
      <w:r w:rsidRPr="00434309">
        <w:rPr>
          <w:rFonts w:ascii="Palatino Linotype" w:hAnsi="Palatino Linotype" w:cs="Arial"/>
          <w:b/>
          <w:sz w:val="24"/>
          <w:szCs w:val="24"/>
        </w:rPr>
        <w:t xml:space="preserve"> </w:t>
      </w:r>
      <w:r w:rsidRPr="00434309">
        <w:rPr>
          <w:rFonts w:ascii="Palatino Linotype" w:hAnsi="Palatino Linotype" w:cs="Arial"/>
          <w:sz w:val="24"/>
          <w:szCs w:val="24"/>
        </w:rPr>
        <w:t>se</w:t>
      </w:r>
      <w:r w:rsidRPr="00434309">
        <w:rPr>
          <w:rFonts w:ascii="Palatino Linotype" w:hAnsi="Palatino Linotype" w:cs="Arial"/>
          <w:b/>
          <w:sz w:val="24"/>
          <w:szCs w:val="24"/>
        </w:rPr>
        <w:t xml:space="preserve"> </w:t>
      </w:r>
      <w:r w:rsidR="00434349" w:rsidRPr="00434309">
        <w:rPr>
          <w:rFonts w:ascii="Palatino Linotype" w:hAnsi="Palatino Linotype" w:cs="Arial"/>
          <w:sz w:val="24"/>
          <w:szCs w:val="24"/>
        </w:rPr>
        <w:t>acreditó una búsqueda exhaustiva y razonable de la informaci</w:t>
      </w:r>
      <w:r w:rsidR="00A17B5F" w:rsidRPr="00434309">
        <w:rPr>
          <w:rFonts w:ascii="Palatino Linotype" w:hAnsi="Palatino Linotype" w:cs="Arial"/>
          <w:sz w:val="24"/>
          <w:szCs w:val="24"/>
        </w:rPr>
        <w:t>ón</w:t>
      </w:r>
      <w:r w:rsidRPr="00434309">
        <w:rPr>
          <w:rFonts w:ascii="Palatino Linotype" w:hAnsi="Palatino Linotype" w:cs="Arial"/>
          <w:sz w:val="24"/>
          <w:szCs w:val="24"/>
        </w:rPr>
        <w:t>;</w:t>
      </w:r>
      <w:r w:rsidR="00A17B5F" w:rsidRPr="00434309">
        <w:rPr>
          <w:rFonts w:ascii="Palatino Linotype" w:hAnsi="Palatino Linotype" w:cs="Arial"/>
          <w:sz w:val="24"/>
          <w:szCs w:val="24"/>
        </w:rPr>
        <w:t xml:space="preserve"> sin embargo es importante precisar que si bien es cierto la </w:t>
      </w:r>
      <w:r w:rsidR="00832477" w:rsidRPr="00434309">
        <w:rPr>
          <w:rFonts w:ascii="Palatino Linotype" w:hAnsi="Palatino Linotype" w:cs="Arial"/>
          <w:b/>
          <w:sz w:val="24"/>
          <w:szCs w:val="24"/>
        </w:rPr>
        <w:t>Universidad Politécnica del Valle de Toluca</w:t>
      </w:r>
      <w:r w:rsidR="00A17B5F" w:rsidRPr="00434309">
        <w:rPr>
          <w:rFonts w:ascii="Palatino Linotype" w:hAnsi="Palatino Linotype" w:cs="Arial"/>
          <w:b/>
          <w:sz w:val="24"/>
          <w:szCs w:val="24"/>
        </w:rPr>
        <w:t xml:space="preserve"> </w:t>
      </w:r>
      <w:r w:rsidR="00434309" w:rsidRPr="00434309">
        <w:rPr>
          <w:rFonts w:ascii="Palatino Linotype" w:hAnsi="Palatino Linotype" w:cs="Arial"/>
          <w:sz w:val="24"/>
          <w:szCs w:val="24"/>
        </w:rPr>
        <w:t>se pronunció al respecto</w:t>
      </w:r>
      <w:r w:rsidR="00A17B5F" w:rsidRPr="00434309">
        <w:rPr>
          <w:rFonts w:ascii="Palatino Linotype" w:hAnsi="Palatino Linotype" w:cs="Arial"/>
          <w:sz w:val="24"/>
          <w:szCs w:val="24"/>
        </w:rPr>
        <w:t xml:space="preserve"> pretendi</w:t>
      </w:r>
      <w:r w:rsidR="00434309" w:rsidRPr="00434309">
        <w:rPr>
          <w:rFonts w:ascii="Palatino Linotype" w:hAnsi="Palatino Linotype" w:cs="Arial"/>
          <w:sz w:val="24"/>
          <w:szCs w:val="24"/>
        </w:rPr>
        <w:t>endo</w:t>
      </w:r>
      <w:r w:rsidR="00A17B5F" w:rsidRPr="00434309">
        <w:rPr>
          <w:rFonts w:ascii="Palatino Linotype" w:hAnsi="Palatino Linotype" w:cs="Arial"/>
          <w:sz w:val="24"/>
          <w:szCs w:val="24"/>
        </w:rPr>
        <w:t xml:space="preserve"> dar cumplimiento al o establecido en el artículo 162 de la </w:t>
      </w:r>
      <w:r w:rsidR="00A17B5F" w:rsidRPr="00434309">
        <w:rPr>
          <w:rFonts w:ascii="Palatino Linotype" w:eastAsia="MS Mincho" w:hAnsi="Palatino Linotype" w:cs="Arial"/>
          <w:color w:val="000000" w:themeColor="text1"/>
          <w:sz w:val="24"/>
          <w:szCs w:val="24"/>
        </w:rPr>
        <w:t>Ley de Transparencia y Acceso a la Información Pública del Estado de México y Municipios, el cual a la letra dispone lo siguiente:</w:t>
      </w:r>
    </w:p>
    <w:p w:rsidR="00A17B5F" w:rsidRDefault="00A17B5F" w:rsidP="00A17B5F">
      <w:pPr>
        <w:pStyle w:val="Prrafodelista"/>
        <w:tabs>
          <w:tab w:val="left" w:pos="426"/>
        </w:tabs>
        <w:spacing w:line="276" w:lineRule="auto"/>
        <w:ind w:left="567" w:right="616"/>
        <w:jc w:val="both"/>
        <w:rPr>
          <w:rFonts w:ascii="Palatino Linotype" w:hAnsi="Palatino Linotype"/>
          <w:b/>
          <w:i/>
        </w:rPr>
      </w:pPr>
    </w:p>
    <w:p w:rsidR="00A17B5F" w:rsidRDefault="00A17B5F" w:rsidP="00A17B5F">
      <w:pPr>
        <w:pStyle w:val="Prrafodelista"/>
        <w:tabs>
          <w:tab w:val="left" w:pos="426"/>
        </w:tabs>
        <w:spacing w:line="276" w:lineRule="auto"/>
        <w:ind w:left="567" w:right="616"/>
        <w:jc w:val="both"/>
        <w:rPr>
          <w:rFonts w:ascii="Palatino Linotype" w:hAnsi="Palatino Linotype"/>
          <w:i/>
        </w:rPr>
      </w:pPr>
      <w:r>
        <w:rPr>
          <w:rFonts w:ascii="Palatino Linotype" w:hAnsi="Palatino Linotype"/>
          <w:b/>
          <w:i/>
        </w:rPr>
        <w:t>“</w:t>
      </w:r>
      <w:r w:rsidRPr="00107AE4">
        <w:rPr>
          <w:rFonts w:ascii="Palatino Linotype" w:hAnsi="Palatino Linotype"/>
          <w:b/>
          <w:i/>
        </w:rPr>
        <w:t>Artículo 162.</w:t>
      </w:r>
      <w:r w:rsidRPr="00107AE4">
        <w:rPr>
          <w:rFonts w:ascii="Palatino Linotype" w:hAnsi="Palatino Linotype"/>
          <w:i/>
        </w:rPr>
        <w:t xml:space="preserve"> Las unidades de transparencia </w:t>
      </w:r>
      <w:r w:rsidRPr="00107AE4">
        <w:rPr>
          <w:rFonts w:ascii="Palatino Linotype" w:hAnsi="Palatino Linotype"/>
          <w:i/>
          <w:u w:val="single"/>
        </w:rPr>
        <w:t xml:space="preserve">deberán garantizar que las solicitudes se turnen a todas las Áreas competentes que </w:t>
      </w:r>
      <w:r w:rsidRPr="00A17B5F">
        <w:rPr>
          <w:rFonts w:ascii="Palatino Linotype" w:hAnsi="Palatino Linotype"/>
          <w:i/>
        </w:rPr>
        <w:t>cuenten con la información o deban tenerla de acuerdo a sus facultades, competencias y funciones,</w:t>
      </w:r>
      <w:r w:rsidRPr="00107AE4">
        <w:rPr>
          <w:rFonts w:ascii="Palatino Linotype" w:hAnsi="Palatino Linotype"/>
          <w:i/>
        </w:rPr>
        <w:t xml:space="preserve"> </w:t>
      </w:r>
      <w:r w:rsidRPr="00A17B5F">
        <w:rPr>
          <w:rFonts w:ascii="Palatino Linotype" w:hAnsi="Palatino Linotype"/>
          <w:i/>
          <w:u w:val="single"/>
        </w:rPr>
        <w:t>con el objeto de que realicen una búsqueda exhaustiva y razonable de la información</w:t>
      </w:r>
      <w:r w:rsidRPr="00107AE4">
        <w:rPr>
          <w:rFonts w:ascii="Palatino Linotype" w:hAnsi="Palatino Linotype"/>
          <w:i/>
        </w:rPr>
        <w:t xml:space="preserve"> solicitada.</w:t>
      </w:r>
      <w:r>
        <w:rPr>
          <w:rFonts w:ascii="Palatino Linotype" w:hAnsi="Palatino Linotype"/>
          <w:i/>
        </w:rPr>
        <w:t>”</w:t>
      </w:r>
    </w:p>
    <w:p w:rsidR="00A17B5F" w:rsidRDefault="00A17B5F" w:rsidP="00A17B5F">
      <w:pPr>
        <w:pStyle w:val="Prrafodelista"/>
        <w:tabs>
          <w:tab w:val="left" w:pos="426"/>
        </w:tabs>
        <w:spacing w:line="276" w:lineRule="auto"/>
        <w:ind w:left="567" w:right="616"/>
        <w:jc w:val="both"/>
        <w:rPr>
          <w:rFonts w:ascii="Palatino Linotype" w:hAnsi="Palatino Linotype"/>
          <w:i/>
        </w:rPr>
      </w:pPr>
    </w:p>
    <w:p w:rsidR="00A17B5F" w:rsidRPr="00107AE4" w:rsidRDefault="00A17B5F" w:rsidP="00A17B5F">
      <w:pPr>
        <w:pStyle w:val="Prrafodelista"/>
        <w:tabs>
          <w:tab w:val="left" w:pos="426"/>
        </w:tabs>
        <w:spacing w:line="276" w:lineRule="auto"/>
        <w:ind w:left="567" w:right="616"/>
        <w:jc w:val="both"/>
        <w:rPr>
          <w:rFonts w:ascii="Palatino Linotype" w:eastAsia="MS Mincho" w:hAnsi="Palatino Linotype" w:cs="Arial"/>
          <w:color w:val="000000" w:themeColor="text1"/>
        </w:rPr>
      </w:pPr>
      <w:r>
        <w:rPr>
          <w:rFonts w:ascii="Palatino Linotype" w:hAnsi="Palatino Linotype"/>
        </w:rPr>
        <w:t>(Énfasis añadido)</w:t>
      </w:r>
    </w:p>
    <w:p w:rsidR="00A17B5F" w:rsidRPr="005D7BD4" w:rsidRDefault="00A17B5F" w:rsidP="00A17B5F">
      <w:pPr>
        <w:pStyle w:val="Prrafodelista"/>
        <w:tabs>
          <w:tab w:val="left" w:pos="426"/>
        </w:tabs>
        <w:spacing w:line="360" w:lineRule="auto"/>
        <w:ind w:left="0"/>
        <w:jc w:val="both"/>
        <w:rPr>
          <w:rFonts w:ascii="Palatino Linotype" w:eastAsia="MS Mincho" w:hAnsi="Palatino Linotype" w:cs="Arial"/>
          <w:color w:val="000000" w:themeColor="text1"/>
        </w:rPr>
      </w:pPr>
    </w:p>
    <w:p w:rsidR="007D1816" w:rsidRDefault="007D1816" w:rsidP="00434309">
      <w:pPr>
        <w:numPr>
          <w:ilvl w:val="0"/>
          <w:numId w:val="2"/>
        </w:numPr>
        <w:spacing w:after="0" w:line="360" w:lineRule="auto"/>
        <w:ind w:left="0" w:firstLine="0"/>
        <w:contextualSpacing/>
        <w:jc w:val="both"/>
        <w:rPr>
          <w:rFonts w:ascii="Palatino Linotype" w:eastAsia="MS Mincho" w:hAnsi="Palatino Linotype" w:cs="Arial"/>
          <w:color w:val="000000" w:themeColor="text1"/>
          <w:sz w:val="24"/>
          <w:szCs w:val="24"/>
        </w:rPr>
      </w:pPr>
      <w:r w:rsidRPr="007D1816">
        <w:rPr>
          <w:rFonts w:ascii="Palatino Linotype" w:eastAsia="MS Mincho" w:hAnsi="Palatino Linotype" w:cs="Arial"/>
          <w:color w:val="000000" w:themeColor="text1"/>
          <w:sz w:val="24"/>
          <w:szCs w:val="24"/>
        </w:rPr>
        <w:lastRenderedPageBreak/>
        <w:t xml:space="preserve">Del precepto jurídico se desprende que los Sujetos Obligados tienen el deber de turnar la solicitud de información a todas las áreas o unidades administrativas donde pudiera obrar la información, </w:t>
      </w:r>
      <w:r>
        <w:rPr>
          <w:rFonts w:ascii="Palatino Linotype" w:eastAsia="MS Mincho" w:hAnsi="Palatino Linotype" w:cs="Arial"/>
          <w:color w:val="000000" w:themeColor="text1"/>
          <w:sz w:val="24"/>
          <w:szCs w:val="24"/>
        </w:rPr>
        <w:t>las cuales tienen la obligación de realizar una efectiva</w:t>
      </w:r>
      <w:r w:rsidRPr="007D1816">
        <w:rPr>
          <w:rFonts w:ascii="Palatino Linotype" w:eastAsia="MS Mincho" w:hAnsi="Palatino Linotype" w:cs="Arial"/>
          <w:color w:val="000000" w:themeColor="text1"/>
          <w:sz w:val="24"/>
          <w:szCs w:val="24"/>
        </w:rPr>
        <w:t xml:space="preserve"> búsqueda exhaustiva y razonable de la misma, </w:t>
      </w:r>
      <w:r>
        <w:rPr>
          <w:rFonts w:ascii="Palatino Linotype" w:eastAsia="MS Mincho" w:hAnsi="Palatino Linotype" w:cs="Arial"/>
          <w:color w:val="000000" w:themeColor="text1"/>
          <w:sz w:val="24"/>
          <w:szCs w:val="24"/>
        </w:rPr>
        <w:t xml:space="preserve">y que en el caso concreto que nos ocupa analizar los Servidores Públicos Habilitados únicamente manifestaron que la información no fue localizada, sin remitir evidencia de las acciones realizadas para su localización y entrega. </w:t>
      </w:r>
    </w:p>
    <w:p w:rsidR="00136528" w:rsidRDefault="00136528" w:rsidP="00136528">
      <w:pPr>
        <w:spacing w:after="0" w:line="360" w:lineRule="auto"/>
        <w:ind w:left="360"/>
        <w:contextualSpacing/>
        <w:jc w:val="both"/>
        <w:rPr>
          <w:rFonts w:ascii="Palatino Linotype" w:eastAsia="MS Mincho" w:hAnsi="Palatino Linotype" w:cs="Arial"/>
          <w:color w:val="000000" w:themeColor="text1"/>
          <w:sz w:val="24"/>
          <w:szCs w:val="24"/>
        </w:rPr>
      </w:pPr>
    </w:p>
    <w:p w:rsidR="00136528" w:rsidRPr="00136528" w:rsidRDefault="00136528" w:rsidP="00434309">
      <w:pPr>
        <w:numPr>
          <w:ilvl w:val="0"/>
          <w:numId w:val="2"/>
        </w:numPr>
        <w:spacing w:after="0" w:line="360" w:lineRule="auto"/>
        <w:ind w:left="0" w:firstLine="0"/>
        <w:contextualSpacing/>
        <w:jc w:val="both"/>
        <w:rPr>
          <w:rFonts w:ascii="Palatino Linotype" w:eastAsia="MS Mincho" w:hAnsi="Palatino Linotype" w:cs="Arial"/>
          <w:color w:val="000000" w:themeColor="text1"/>
          <w:sz w:val="24"/>
          <w:szCs w:val="24"/>
        </w:rPr>
      </w:pPr>
      <w:r>
        <w:rPr>
          <w:rFonts w:ascii="Palatino Linotype" w:hAnsi="Palatino Linotype"/>
          <w:sz w:val="24"/>
          <w:szCs w:val="24"/>
        </w:rPr>
        <w:t>Es importante referir, que este</w:t>
      </w:r>
      <w:r w:rsidRPr="00136528">
        <w:rPr>
          <w:rFonts w:ascii="Palatino Linotype" w:hAnsi="Palatino Linotype"/>
          <w:sz w:val="24"/>
          <w:szCs w:val="24"/>
        </w:rPr>
        <w:t xml:space="preserve"> Órgano Garante cuenta con funciones jurisdiccionales,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w:t>
      </w:r>
    </w:p>
    <w:p w:rsidR="00136528" w:rsidRPr="00136528" w:rsidRDefault="00136528" w:rsidP="00136528">
      <w:pPr>
        <w:spacing w:after="0" w:line="360" w:lineRule="auto"/>
        <w:ind w:left="360"/>
        <w:contextualSpacing/>
        <w:jc w:val="both"/>
        <w:rPr>
          <w:rFonts w:ascii="Palatino Linotype" w:eastAsia="MS Mincho" w:hAnsi="Palatino Linotype" w:cs="Arial"/>
          <w:color w:val="000000" w:themeColor="text1"/>
          <w:sz w:val="24"/>
          <w:szCs w:val="24"/>
        </w:rPr>
      </w:pPr>
    </w:p>
    <w:p w:rsidR="00136528" w:rsidRPr="00136528" w:rsidRDefault="00136528" w:rsidP="00B6498A">
      <w:pPr>
        <w:numPr>
          <w:ilvl w:val="0"/>
          <w:numId w:val="2"/>
        </w:numPr>
        <w:spacing w:after="0" w:line="360" w:lineRule="auto"/>
        <w:ind w:left="0" w:firstLine="0"/>
        <w:contextualSpacing/>
        <w:jc w:val="both"/>
        <w:rPr>
          <w:rFonts w:ascii="Palatino Linotype" w:hAnsi="Palatino Linotype" w:cs="Times New Roman"/>
          <w:sz w:val="24"/>
          <w:szCs w:val="24"/>
          <w:lang w:eastAsia="es-ES_tradnl"/>
        </w:rPr>
      </w:pPr>
      <w:r w:rsidRPr="00136528">
        <w:rPr>
          <w:rFonts w:ascii="Palatino Linotype" w:hAnsi="Palatino Linotype" w:cs="Arial"/>
          <w:sz w:val="24"/>
          <w:szCs w:val="24"/>
        </w:rPr>
        <w:t xml:space="preserve">Sirviendo de </w:t>
      </w:r>
      <w:r w:rsidRPr="00136528">
        <w:rPr>
          <w:rFonts w:ascii="Palatino Linotype" w:hAnsi="Palatino Linotype"/>
          <w:sz w:val="24"/>
          <w:szCs w:val="24"/>
        </w:rPr>
        <w:t>sustento a lo anterior, Tesis Aislada P. LXVI/2011(9a.), publicado en el Semanario Judicial de la Federación y su Gaceta, Libro III, diciembre de 2011, Tomo 1, pág. 550, que a la letra refiere lo siguiente:</w:t>
      </w:r>
    </w:p>
    <w:p w:rsidR="00136528" w:rsidRPr="00136528" w:rsidRDefault="00136528" w:rsidP="00136528">
      <w:pPr>
        <w:ind w:left="567" w:right="616"/>
        <w:jc w:val="both"/>
        <w:rPr>
          <w:rFonts w:ascii="Palatino Linotype" w:hAnsi="Palatino Linotype" w:cs="Calibri"/>
          <w:b/>
          <w:bCs/>
          <w:color w:val="000000"/>
          <w:sz w:val="24"/>
          <w:szCs w:val="24"/>
        </w:rPr>
      </w:pPr>
    </w:p>
    <w:p w:rsidR="00136528" w:rsidRPr="00B56A02" w:rsidRDefault="00136528" w:rsidP="00136528">
      <w:pPr>
        <w:ind w:left="567" w:right="616"/>
        <w:jc w:val="both"/>
        <w:rPr>
          <w:rFonts w:ascii="Palatino Linotype" w:hAnsi="Palatino Linotype" w:cs="Calibri"/>
          <w:b/>
          <w:bCs/>
          <w:i/>
          <w:color w:val="000000" w:themeColor="text1"/>
        </w:rPr>
      </w:pPr>
      <w:r>
        <w:rPr>
          <w:rFonts w:ascii="Palatino Linotype" w:hAnsi="Palatino Linotype" w:cs="Calibri"/>
          <w:b/>
          <w:bCs/>
          <w:i/>
          <w:color w:val="000000" w:themeColor="text1"/>
        </w:rPr>
        <w:t>“</w:t>
      </w:r>
      <w:r w:rsidRPr="00B56A02">
        <w:rPr>
          <w:rFonts w:ascii="Palatino Linotype" w:hAnsi="Palatino Linotype" w:cs="Calibri"/>
          <w:b/>
          <w:bCs/>
          <w:i/>
          <w:color w:val="000000" w:themeColor="text1"/>
        </w:rPr>
        <w:t>CRITERIOS EMITIDOS POR LA CORTE INTERAMERICANA DE DERECHOS HUMANOS CUANDO EL ESTADO MEXICANO NO FUE PARTE. SON ORIENTADORES PARA LOS JUECES MEXICANOS SIEMPRE QUE SEAN MÁS FAVORABLES A LA PERSONA EN TÉRMINOS DEL ARTÍCULO 1o. DE LA CONSTITUCIÓN FEDERAL.</w:t>
      </w:r>
    </w:p>
    <w:p w:rsidR="00136528" w:rsidRPr="00B56A02" w:rsidRDefault="00136528" w:rsidP="00136528">
      <w:pPr>
        <w:ind w:left="567" w:right="616"/>
        <w:rPr>
          <w:rFonts w:ascii="Palatino Linotype" w:hAnsi="Palatino Linotype" w:cs="Times New Roman"/>
          <w:i/>
          <w:color w:val="000000" w:themeColor="text1"/>
        </w:rPr>
      </w:pPr>
    </w:p>
    <w:p w:rsidR="00136528" w:rsidRPr="00B56A02" w:rsidRDefault="00136528" w:rsidP="00136528">
      <w:pPr>
        <w:ind w:left="567" w:right="616"/>
        <w:jc w:val="both"/>
        <w:rPr>
          <w:rFonts w:ascii="Palatino Linotype" w:hAnsi="Palatino Linotype" w:cs="Calibri"/>
          <w:i/>
          <w:color w:val="000000" w:themeColor="text1"/>
        </w:rPr>
      </w:pPr>
      <w:r w:rsidRPr="00B56A02">
        <w:rPr>
          <w:rFonts w:ascii="Palatino Linotype" w:hAnsi="Palatino Linotype" w:cs="Calibri"/>
          <w:i/>
          <w:color w:val="000000" w:themeColor="text1"/>
        </w:rPr>
        <w:lastRenderedPageBreak/>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w:t>
      </w:r>
      <w:hyperlink r:id="rId8" w:history="1">
        <w:r w:rsidRPr="00B56A02">
          <w:rPr>
            <w:rStyle w:val="Hipervnculo"/>
            <w:rFonts w:ascii="Palatino Linotype" w:hAnsi="Palatino Linotype" w:cs="Calibri"/>
            <w:i/>
            <w:color w:val="000000" w:themeColor="text1"/>
          </w:rPr>
          <w:t>1o. constitucional</w:t>
        </w:r>
      </w:hyperlink>
      <w:r w:rsidRPr="00B56A02">
        <w:rPr>
          <w:rFonts w:ascii="Palatino Linotype" w:hAnsi="Palatino Linotype" w:cs="Calibri"/>
          <w:i/>
          <w:color w:val="000000" w:themeColor="text1"/>
        </w:rPr>
        <w:t>. De este modo, los jueces nacionales deben observar los derechos humanos establecidos en la Constitución Mexicana y en los tratados internacionales de los que el Estado Mexicano sea parte, así como los criterios emitidos por el Poder Judicial de la Federación al interpretarlos y acudir a los criterios interpretativos de la Corte Interamericana para evaluar si existe alguno que resulte más favorable y procure una protección más amplia del derecho que se pretende proteger. Esto no prejuzga la posibilidad de que sean los criterios internos los que se cumplan de mejor manera con lo establecido por la Constitución en términos de su artículo 1o., lo cual tendrá que valorarse caso por caso a fin de garantizar siempre la mayor protección de los derechos humanos.</w:t>
      </w:r>
    </w:p>
    <w:p w:rsidR="00136528" w:rsidRPr="00B56A02" w:rsidRDefault="00136528" w:rsidP="00136528">
      <w:pPr>
        <w:ind w:left="567" w:right="616"/>
        <w:rPr>
          <w:rFonts w:ascii="Palatino Linotype" w:hAnsi="Palatino Linotype"/>
          <w:i/>
          <w:color w:val="000000" w:themeColor="text1"/>
        </w:rPr>
      </w:pPr>
    </w:p>
    <w:p w:rsidR="00136528" w:rsidRPr="00B56A02" w:rsidRDefault="00136528" w:rsidP="00136528">
      <w:pPr>
        <w:pStyle w:val="francesa"/>
        <w:spacing w:before="0" w:beforeAutospacing="0" w:after="0" w:afterAutospacing="0"/>
        <w:ind w:left="567" w:right="616"/>
        <w:jc w:val="both"/>
        <w:rPr>
          <w:rFonts w:ascii="Palatino Linotype" w:hAnsi="Palatino Linotype" w:cs="Calibri"/>
          <w:i/>
          <w:color w:val="000000" w:themeColor="text1"/>
          <w:sz w:val="22"/>
          <w:szCs w:val="22"/>
        </w:rPr>
      </w:pPr>
      <w:r w:rsidRPr="00B56A02">
        <w:rPr>
          <w:rFonts w:ascii="Palatino Linotype" w:hAnsi="Palatino Linotype" w:cs="Calibri"/>
          <w:i/>
          <w:color w:val="000000" w:themeColor="text1"/>
          <w:sz w:val="22"/>
          <w:szCs w:val="22"/>
        </w:rPr>
        <w:t>Varios 912/2010. 14 de de julio de 2011. Mayoría de seis votos; votaron en contra: José Ramón Cossío Díaz, Arturo Zaldívar Lelo de Larrea, Sergio A. Valls Hernández, Olga Sánchez Cordero de García Villegas y Juan N. Silva Meza. Ponente: Margarita Beatriz Luna Ramos. Encargado del engrose: José Ramón Cossío Díaz. Secretarios: Raúl Manuel Mejía Garza y Laura Patricia Rojas Zamudio.</w:t>
      </w:r>
    </w:p>
    <w:p w:rsidR="00136528" w:rsidRPr="00B56A02" w:rsidRDefault="00136528" w:rsidP="00136528">
      <w:pPr>
        <w:pStyle w:val="francesa"/>
        <w:spacing w:before="0" w:beforeAutospacing="0" w:after="0" w:afterAutospacing="0"/>
        <w:ind w:left="567" w:right="616"/>
        <w:jc w:val="both"/>
        <w:rPr>
          <w:rFonts w:ascii="Palatino Linotype" w:hAnsi="Palatino Linotype" w:cs="Calibri"/>
          <w:i/>
          <w:color w:val="000000" w:themeColor="text1"/>
          <w:sz w:val="22"/>
          <w:szCs w:val="22"/>
        </w:rPr>
      </w:pPr>
    </w:p>
    <w:p w:rsidR="00136528" w:rsidRDefault="00136528" w:rsidP="00136528">
      <w:pPr>
        <w:pStyle w:val="francesa"/>
        <w:spacing w:before="0" w:beforeAutospacing="0" w:after="0" w:afterAutospacing="0"/>
        <w:ind w:left="567" w:right="616"/>
        <w:jc w:val="both"/>
        <w:rPr>
          <w:rFonts w:ascii="Palatino Linotype" w:hAnsi="Palatino Linotype" w:cs="Calibri"/>
          <w:i/>
          <w:color w:val="000000" w:themeColor="text1"/>
          <w:sz w:val="22"/>
          <w:szCs w:val="22"/>
        </w:rPr>
      </w:pPr>
      <w:r w:rsidRPr="00B56A02">
        <w:rPr>
          <w:rFonts w:ascii="Palatino Linotype" w:hAnsi="Palatino Linotype" w:cs="Calibri"/>
          <w:i/>
          <w:color w:val="000000" w:themeColor="text1"/>
          <w:sz w:val="22"/>
          <w:szCs w:val="22"/>
        </w:rPr>
        <w:t>El Tribunal Pleno, el veintiocho de noviembre en curso, aprobó, con el número LXVI/2011 (9a.), la tesis aislada que antecede. México, Distrito Federal, a veintiocho de noviembre de dos mil once.</w:t>
      </w:r>
      <w:r>
        <w:rPr>
          <w:rFonts w:ascii="Palatino Linotype" w:hAnsi="Palatino Linotype" w:cs="Calibri"/>
          <w:i/>
          <w:color w:val="000000" w:themeColor="text1"/>
          <w:sz w:val="22"/>
          <w:szCs w:val="22"/>
        </w:rPr>
        <w:t>”</w:t>
      </w:r>
    </w:p>
    <w:p w:rsidR="00136528" w:rsidRDefault="00136528" w:rsidP="00136528">
      <w:pPr>
        <w:pStyle w:val="francesa"/>
        <w:spacing w:before="0" w:beforeAutospacing="0" w:after="0" w:afterAutospacing="0"/>
        <w:ind w:left="567" w:right="616"/>
        <w:jc w:val="both"/>
        <w:rPr>
          <w:rFonts w:ascii="Palatino Linotype" w:hAnsi="Palatino Linotype" w:cs="Calibri"/>
          <w:i/>
          <w:color w:val="000000" w:themeColor="text1"/>
          <w:sz w:val="22"/>
          <w:szCs w:val="22"/>
        </w:rPr>
      </w:pPr>
    </w:p>
    <w:p w:rsidR="00136528" w:rsidRPr="00B56A02" w:rsidRDefault="00136528" w:rsidP="00136528">
      <w:pPr>
        <w:pStyle w:val="francesa"/>
        <w:spacing w:before="0" w:beforeAutospacing="0" w:after="0" w:afterAutospacing="0"/>
        <w:ind w:left="567" w:right="616"/>
        <w:jc w:val="both"/>
        <w:rPr>
          <w:rFonts w:ascii="Palatino Linotype" w:hAnsi="Palatino Linotype" w:cs="Calibri"/>
          <w:color w:val="000000" w:themeColor="text1"/>
          <w:sz w:val="22"/>
          <w:szCs w:val="22"/>
        </w:rPr>
      </w:pPr>
      <w:r>
        <w:rPr>
          <w:rFonts w:ascii="Palatino Linotype" w:hAnsi="Palatino Linotype" w:cs="Calibri"/>
          <w:color w:val="000000" w:themeColor="text1"/>
          <w:sz w:val="22"/>
          <w:szCs w:val="22"/>
        </w:rPr>
        <w:t>(Énfasis añadido)</w:t>
      </w:r>
    </w:p>
    <w:p w:rsidR="00136528" w:rsidRDefault="00136528" w:rsidP="00136528">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rPr>
      </w:pPr>
    </w:p>
    <w:p w:rsidR="00136528" w:rsidRPr="00136528" w:rsidRDefault="00136528" w:rsidP="00B6498A">
      <w:pPr>
        <w:numPr>
          <w:ilvl w:val="0"/>
          <w:numId w:val="2"/>
        </w:numPr>
        <w:spacing w:after="0" w:line="360" w:lineRule="auto"/>
        <w:ind w:left="0" w:firstLine="0"/>
        <w:contextualSpacing/>
        <w:jc w:val="both"/>
        <w:rPr>
          <w:rFonts w:ascii="Palatino Linotype" w:hAnsi="Palatino Linotype" w:cs="Times New Roman"/>
          <w:sz w:val="24"/>
          <w:szCs w:val="24"/>
          <w:lang w:eastAsia="es-ES_tradnl"/>
        </w:rPr>
      </w:pPr>
      <w:r w:rsidRPr="00136528">
        <w:rPr>
          <w:rFonts w:ascii="Palatino Linotype" w:hAnsi="Palatino Linotype" w:cs="Arial"/>
          <w:sz w:val="24"/>
          <w:szCs w:val="24"/>
        </w:rPr>
        <w:t xml:space="preserve">Precisado </w:t>
      </w:r>
      <w:r w:rsidRPr="00136528">
        <w:rPr>
          <w:rFonts w:ascii="Palatino Linotype" w:hAnsi="Palatino Linotype"/>
          <w:sz w:val="24"/>
          <w:szCs w:val="24"/>
        </w:rPr>
        <w:t xml:space="preserve">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w:t>
      </w:r>
      <w:r w:rsidRPr="00136528">
        <w:rPr>
          <w:rFonts w:ascii="Palatino Linotype" w:hAnsi="Palatino Linotype"/>
          <w:sz w:val="24"/>
          <w:szCs w:val="24"/>
        </w:rPr>
        <w:lastRenderedPageBreak/>
        <w:t>vulneración, se instituyen Órganos Garantes especializados en los diferentes niveles para su debida protección y respeto, aún en contra de la voluntad de los Sujetos Obligados.</w:t>
      </w:r>
    </w:p>
    <w:p w:rsidR="00136528" w:rsidRDefault="00136528" w:rsidP="00136528">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rsidR="00136528" w:rsidRPr="00136528" w:rsidRDefault="00136528" w:rsidP="00B6498A">
      <w:pPr>
        <w:numPr>
          <w:ilvl w:val="0"/>
          <w:numId w:val="2"/>
        </w:numPr>
        <w:spacing w:after="0" w:line="360" w:lineRule="auto"/>
        <w:ind w:left="0" w:firstLine="0"/>
        <w:contextualSpacing/>
        <w:jc w:val="both"/>
        <w:rPr>
          <w:rFonts w:ascii="Palatino Linotype" w:hAnsi="Palatino Linotype" w:cs="Times New Roman"/>
          <w:sz w:val="24"/>
          <w:szCs w:val="24"/>
          <w:lang w:eastAsia="es-ES_tradnl"/>
        </w:rPr>
      </w:pPr>
      <w:r w:rsidRPr="00136528">
        <w:rPr>
          <w:rFonts w:ascii="Palatino Linotype" w:hAnsi="Palatino Linotype" w:cs="Arial"/>
          <w:sz w:val="24"/>
          <w:szCs w:val="24"/>
        </w:rPr>
        <w:t xml:space="preserve">Es así que, en </w:t>
      </w:r>
      <w:r w:rsidRPr="00136528">
        <w:rPr>
          <w:rFonts w:ascii="Palatino Linotype" w:hAnsi="Palatino Linotype"/>
          <w:sz w:val="24"/>
          <w:szCs w:val="24"/>
        </w:rPr>
        <w:t>el plano internacional, particularmente en el tema en análisis, existen sentencias que emite la Corte Interamericana de Derechos Humanos, que son vinculantes tanto para los estados involucrados como para aquellos, en el caso del Estado Mexicano, que pese a no ser parte involucrada la ley lo faculta constitucionalmente para adoptarlos como criterios orientadores, siempre y cuando se aplique el principio pro persona, es decir, es lo que más favorable le sea a la persona.</w:t>
      </w:r>
    </w:p>
    <w:p w:rsidR="00136528" w:rsidRDefault="00136528" w:rsidP="00136528">
      <w:pPr>
        <w:pStyle w:val="Prrafodelista"/>
        <w:tabs>
          <w:tab w:val="left" w:pos="426"/>
        </w:tabs>
        <w:spacing w:line="360" w:lineRule="auto"/>
        <w:ind w:left="0"/>
        <w:jc w:val="both"/>
        <w:rPr>
          <w:rFonts w:ascii="Palatino Linotype" w:eastAsia="MS Mincho" w:hAnsi="Palatino Linotype" w:cs="Arial"/>
          <w:color w:val="000000" w:themeColor="text1"/>
        </w:rPr>
      </w:pPr>
    </w:p>
    <w:p w:rsidR="00136528" w:rsidRPr="00136528" w:rsidRDefault="00136528" w:rsidP="00B6498A">
      <w:pPr>
        <w:numPr>
          <w:ilvl w:val="0"/>
          <w:numId w:val="2"/>
        </w:numPr>
        <w:spacing w:after="0" w:line="360" w:lineRule="auto"/>
        <w:ind w:left="0" w:firstLine="0"/>
        <w:contextualSpacing/>
        <w:jc w:val="both"/>
        <w:rPr>
          <w:rFonts w:ascii="Palatino Linotype" w:eastAsia="MS Mincho" w:hAnsi="Palatino Linotype" w:cs="Arial"/>
          <w:color w:val="000000" w:themeColor="text1"/>
          <w:sz w:val="24"/>
          <w:szCs w:val="24"/>
          <w:u w:val="single"/>
        </w:rPr>
      </w:pPr>
      <w:r w:rsidRPr="00136528">
        <w:rPr>
          <w:rFonts w:ascii="Palatino Linotype" w:eastAsia="MS Mincho" w:hAnsi="Palatino Linotype" w:cs="Arial"/>
          <w:color w:val="000000" w:themeColor="text1"/>
          <w:sz w:val="24"/>
          <w:szCs w:val="24"/>
        </w:rPr>
        <w:t xml:space="preserve">Sirve referir que el Tribunal de la Corte Interamericana de Derechos Humanos, mediante su sentencia del veinticuatro de noviembre de dos mil diez sobre el caso Gomes Lund y Otros contra Brasil, en su capítulo VII, se ha pronunciado en relación a que, </w:t>
      </w:r>
      <w:r w:rsidRPr="00136528">
        <w:rPr>
          <w:rFonts w:ascii="Palatino Linotype" w:hAnsi="Palatino Linotype"/>
          <w:sz w:val="24"/>
          <w:szCs w:val="24"/>
        </w:rPr>
        <w:t xml:space="preserve">para garantizar el derecho a la información, los poderes públicos deben actuar de buena fe y realizar diligentemente las acciones necesarias para asegurar la efectividad de ese derecho, especialmente cuando se trata de conocer la verdad de lo ocurrido en todos los casos, pero sobretodo de violaciones graves de derechos humanos como lo son las desapariciones forzadas y la ejecución extrajudicial, además que </w:t>
      </w:r>
      <w:r w:rsidRPr="00136528">
        <w:rPr>
          <w:rFonts w:ascii="Palatino Linotype" w:hAnsi="Palatino Linotype"/>
          <w:sz w:val="24"/>
          <w:szCs w:val="24"/>
          <w:u w:val="single"/>
        </w:rPr>
        <w:t>la falta de prueba sobre la existencia de cierta información, sin haber indicado, al menos, cuáles fueron las diligencias que</w:t>
      </w:r>
      <w:r w:rsidRPr="00136528">
        <w:rPr>
          <w:rFonts w:ascii="Palatino Linotype" w:eastAsia="MS Mincho" w:hAnsi="Palatino Linotype" w:cs="Arial"/>
          <w:color w:val="000000" w:themeColor="text1"/>
          <w:sz w:val="24"/>
          <w:szCs w:val="24"/>
          <w:u w:val="single"/>
        </w:rPr>
        <w:t xml:space="preserve"> se </w:t>
      </w:r>
      <w:r w:rsidRPr="00136528">
        <w:rPr>
          <w:rFonts w:ascii="Palatino Linotype" w:eastAsia="MS Mincho" w:hAnsi="Palatino Linotype" w:cs="Arial"/>
          <w:color w:val="000000" w:themeColor="text1"/>
          <w:sz w:val="24"/>
          <w:szCs w:val="24"/>
          <w:u w:val="single"/>
        </w:rPr>
        <w:lastRenderedPageBreak/>
        <w:t xml:space="preserve">realizaron para confirmar o no la existencia, </w:t>
      </w:r>
      <w:r w:rsidRPr="00136528">
        <w:rPr>
          <w:rFonts w:ascii="Palatino Linotype" w:hAnsi="Palatino Linotype"/>
          <w:sz w:val="24"/>
          <w:szCs w:val="24"/>
          <w:u w:val="single"/>
        </w:rPr>
        <w:t>posibilita la actuación discrecional y arbitraria del Estado de facilitar o no determinada información, generando con ello inseguridad jurídica respecto al ejercicio de ese derecho.</w:t>
      </w:r>
      <w:r w:rsidRPr="00136528">
        <w:rPr>
          <w:rStyle w:val="Refdenotaalpie"/>
          <w:rFonts w:ascii="Palatino Linotype" w:hAnsi="Palatino Linotype"/>
          <w:sz w:val="24"/>
          <w:szCs w:val="24"/>
          <w:u w:val="single"/>
        </w:rPr>
        <w:footnoteReference w:id="1"/>
      </w:r>
    </w:p>
    <w:p w:rsidR="00136528" w:rsidRDefault="00136528" w:rsidP="00136528">
      <w:pPr>
        <w:pStyle w:val="Prrafodelista"/>
        <w:tabs>
          <w:tab w:val="left" w:pos="426"/>
        </w:tabs>
        <w:spacing w:line="360" w:lineRule="auto"/>
        <w:ind w:left="0"/>
        <w:jc w:val="both"/>
        <w:rPr>
          <w:rFonts w:ascii="Palatino Linotype" w:eastAsia="MS Mincho" w:hAnsi="Palatino Linotype" w:cs="Arial"/>
          <w:color w:val="000000" w:themeColor="text1"/>
        </w:rPr>
      </w:pPr>
    </w:p>
    <w:p w:rsidR="00C32891" w:rsidRPr="00301086" w:rsidRDefault="00136528" w:rsidP="00B6498A">
      <w:pPr>
        <w:numPr>
          <w:ilvl w:val="0"/>
          <w:numId w:val="2"/>
        </w:numPr>
        <w:spacing w:after="0" w:line="360" w:lineRule="auto"/>
        <w:ind w:left="0" w:firstLine="0"/>
        <w:contextualSpacing/>
        <w:jc w:val="both"/>
        <w:rPr>
          <w:rFonts w:ascii="Palatino Linotype" w:eastAsia="Calibri" w:hAnsi="Palatino Linotype" w:cs="Arial"/>
          <w:sz w:val="24"/>
          <w:szCs w:val="24"/>
        </w:rPr>
      </w:pPr>
      <w:r>
        <w:rPr>
          <w:rFonts w:ascii="Palatino Linotype" w:hAnsi="Palatino Linotype" w:cs="Arial"/>
          <w:sz w:val="24"/>
          <w:szCs w:val="24"/>
        </w:rPr>
        <w:t xml:space="preserve">Por consiguiente, </w:t>
      </w:r>
      <w:r w:rsidR="00605C7F">
        <w:rPr>
          <w:rFonts w:ascii="Palatino Linotype" w:hAnsi="Palatino Linotype" w:cs="Arial"/>
          <w:sz w:val="24"/>
          <w:szCs w:val="24"/>
        </w:rPr>
        <w:t xml:space="preserve">para que en la presente resolución se acreditara la efectiva búsqueda exhaustiva de </w:t>
      </w:r>
      <w:r w:rsidR="00B6498A">
        <w:rPr>
          <w:rFonts w:ascii="Palatino Linotype" w:hAnsi="Palatino Linotype" w:cs="Arial"/>
          <w:sz w:val="24"/>
          <w:szCs w:val="24"/>
        </w:rPr>
        <w:t>la información debió ordenarse a</w:t>
      </w:r>
      <w:r w:rsidR="00605C7F">
        <w:rPr>
          <w:rFonts w:ascii="Palatino Linotype" w:hAnsi="Palatino Linotype" w:cs="Arial"/>
          <w:sz w:val="24"/>
          <w:szCs w:val="24"/>
        </w:rPr>
        <w:t xml:space="preserve">l </w:t>
      </w:r>
      <w:r w:rsidR="00B6498A" w:rsidRPr="00B6498A">
        <w:rPr>
          <w:rFonts w:ascii="Palatino Linotype" w:hAnsi="Palatino Linotype" w:cs="Arial"/>
          <w:sz w:val="24"/>
          <w:szCs w:val="24"/>
        </w:rPr>
        <w:t>Sujeto Obligado</w:t>
      </w:r>
      <w:r w:rsidR="00605C7F">
        <w:rPr>
          <w:rFonts w:ascii="Palatino Linotype" w:hAnsi="Palatino Linotype" w:cs="Arial"/>
          <w:b/>
          <w:sz w:val="24"/>
          <w:szCs w:val="24"/>
        </w:rPr>
        <w:t xml:space="preserve"> </w:t>
      </w:r>
      <w:r w:rsidR="00605C7F">
        <w:rPr>
          <w:rFonts w:ascii="Palatino Linotype" w:hAnsi="Palatino Linotype" w:cs="Arial"/>
          <w:sz w:val="24"/>
          <w:szCs w:val="24"/>
        </w:rPr>
        <w:t xml:space="preserve">la entrega de documentales que acreditaran las diligencias realizadas por los Servidores Públicos Habilitados que confirmaran que la información solicitada no fue localizada, acciones con las cuales otorgaría certeza y seguridad jurídica al particular respecto el ejercicio del derecho de acceso a la información pública. </w:t>
      </w:r>
      <w:r w:rsidR="00C32891">
        <w:rPr>
          <w:rFonts w:ascii="Palatino Linotype" w:hAnsi="Palatino Linotype" w:cs="Arial"/>
          <w:sz w:val="24"/>
          <w:szCs w:val="24"/>
        </w:rPr>
        <w:t>Por tanto, considero que a</w:t>
      </w:r>
      <w:r w:rsidR="00C32891" w:rsidRPr="009A3225">
        <w:rPr>
          <w:rFonts w:ascii="Palatino Linotype" w:hAnsi="Palatino Linotype"/>
          <w:color w:val="000000" w:themeColor="text1"/>
          <w:sz w:val="24"/>
          <w:szCs w:val="24"/>
        </w:rPr>
        <w:t>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w:t>
      </w:r>
    </w:p>
    <w:p w:rsidR="00684788" w:rsidRDefault="00684788" w:rsidP="00786073">
      <w:pPr>
        <w:spacing w:after="0" w:line="360" w:lineRule="auto"/>
        <w:ind w:left="360"/>
        <w:contextualSpacing/>
        <w:jc w:val="both"/>
        <w:rPr>
          <w:rFonts w:ascii="Palatino Linotype" w:hAnsi="Palatino Linotype" w:cs="Arial"/>
          <w:sz w:val="24"/>
          <w:szCs w:val="24"/>
        </w:rPr>
      </w:pPr>
    </w:p>
    <w:p w:rsidR="00C32891" w:rsidRPr="00B6498A" w:rsidRDefault="00C32891" w:rsidP="00786073">
      <w:pPr>
        <w:spacing w:after="0" w:line="360" w:lineRule="auto"/>
        <w:ind w:left="360"/>
        <w:contextualSpacing/>
        <w:jc w:val="both"/>
        <w:rPr>
          <w:rFonts w:ascii="Palatino Linotype" w:hAnsi="Palatino Linotype" w:cs="Arial"/>
          <w:sz w:val="40"/>
          <w:szCs w:val="24"/>
        </w:rPr>
      </w:pPr>
    </w:p>
    <w:p w:rsidR="000D5AEA" w:rsidRPr="00877AE6" w:rsidRDefault="000D5AEA" w:rsidP="00C32891">
      <w:pPr>
        <w:spacing w:after="0" w:line="360" w:lineRule="auto"/>
        <w:ind w:left="360"/>
        <w:contextualSpacing/>
        <w:jc w:val="center"/>
        <w:rPr>
          <w:rFonts w:ascii="Palatino Linotype" w:eastAsia="Calibri" w:hAnsi="Palatino Linotype" w:cs="Arial"/>
          <w:b/>
          <w:sz w:val="24"/>
          <w:szCs w:val="24"/>
        </w:rPr>
      </w:pPr>
      <w:r w:rsidRPr="00877AE6">
        <w:rPr>
          <w:rFonts w:ascii="Palatino Linotype" w:eastAsia="Calibri" w:hAnsi="Palatino Linotype" w:cs="Arial"/>
          <w:b/>
          <w:sz w:val="24"/>
          <w:szCs w:val="24"/>
        </w:rPr>
        <w:t>JOSÉ GUADALUPE LUNA HERNÁNDEZ</w:t>
      </w:r>
    </w:p>
    <w:p w:rsidR="000D5AEA" w:rsidRPr="00877AE6" w:rsidRDefault="000D5AEA" w:rsidP="000D5AEA">
      <w:pPr>
        <w:jc w:val="center"/>
        <w:rPr>
          <w:rFonts w:ascii="Palatino Linotype" w:eastAsia="Calibri" w:hAnsi="Palatino Linotype" w:cs="Arial"/>
          <w:b/>
          <w:color w:val="0D0D0D" w:themeColor="text1" w:themeTint="F2"/>
          <w:sz w:val="24"/>
          <w:szCs w:val="24"/>
        </w:rPr>
      </w:pPr>
      <w:r w:rsidRPr="00877AE6">
        <w:rPr>
          <w:rFonts w:ascii="Palatino Linotype" w:eastAsia="Calibri" w:hAnsi="Palatino Linotype" w:cs="Arial"/>
          <w:b/>
          <w:color w:val="0D0D0D" w:themeColor="text1" w:themeTint="F2"/>
          <w:sz w:val="24"/>
          <w:szCs w:val="24"/>
        </w:rPr>
        <w:t>COMISIONADO</w:t>
      </w:r>
    </w:p>
    <w:sectPr w:rsidR="000D5AEA" w:rsidRPr="00877AE6"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7CE" w:rsidRDefault="00F627CE" w:rsidP="00E82D3D">
      <w:pPr>
        <w:spacing w:after="0" w:line="240" w:lineRule="auto"/>
      </w:pPr>
      <w:r>
        <w:separator/>
      </w:r>
    </w:p>
  </w:endnote>
  <w:endnote w:type="continuationSeparator" w:id="0">
    <w:p w:rsidR="00F627CE" w:rsidRDefault="00F627CE"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F1AD8" w:rsidRDefault="000F1AD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70CAF">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70CAF">
              <w:rPr>
                <w:b/>
                <w:bCs/>
                <w:noProof/>
              </w:rPr>
              <w:t>8</w:t>
            </w:r>
            <w:r>
              <w:rPr>
                <w:b/>
                <w:bCs/>
                <w:sz w:val="24"/>
                <w:szCs w:val="24"/>
              </w:rPr>
              <w:fldChar w:fldCharType="end"/>
            </w:r>
          </w:p>
        </w:sdtContent>
      </w:sdt>
    </w:sdtContent>
  </w:sdt>
  <w:p w:rsidR="000F1AD8" w:rsidRDefault="000F1AD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7CE" w:rsidRDefault="00F627CE" w:rsidP="00E82D3D">
      <w:pPr>
        <w:spacing w:after="0" w:line="240" w:lineRule="auto"/>
      </w:pPr>
      <w:r>
        <w:separator/>
      </w:r>
    </w:p>
  </w:footnote>
  <w:footnote w:type="continuationSeparator" w:id="0">
    <w:p w:rsidR="00F627CE" w:rsidRDefault="00F627CE" w:rsidP="00E82D3D">
      <w:pPr>
        <w:spacing w:after="0" w:line="240" w:lineRule="auto"/>
      </w:pPr>
      <w:r>
        <w:continuationSeparator/>
      </w:r>
    </w:p>
  </w:footnote>
  <w:footnote w:id="1">
    <w:p w:rsidR="00136528" w:rsidRPr="00C62EC3" w:rsidRDefault="00136528" w:rsidP="00136528">
      <w:pPr>
        <w:pStyle w:val="Textonotapie"/>
      </w:pPr>
      <w:r>
        <w:rPr>
          <w:rStyle w:val="Refdenotaalpie"/>
        </w:rPr>
        <w:footnoteRef/>
      </w:r>
      <w:r>
        <w:t xml:space="preserve"> Ver Corte IDH, Caso Gomes Lund y Otros (“Guerrilha” Do Araguaia”) vs. Brasil, Sentencia de 24 de noviembre de 2010, Capitulo VII, pág. 81, párr. 211.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F627C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F627C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F1AD8" w:rsidRDefault="000F1A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F627C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F097840"/>
    <w:multiLevelType w:val="hybridMultilevel"/>
    <w:tmpl w:val="1B56FAFE"/>
    <w:lvl w:ilvl="0" w:tplc="65EA42B2">
      <w:start w:val="5"/>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416D9B"/>
    <w:multiLevelType w:val="hybridMultilevel"/>
    <w:tmpl w:val="2CC25C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47461A"/>
    <w:multiLevelType w:val="hybridMultilevel"/>
    <w:tmpl w:val="321A5CDC"/>
    <w:lvl w:ilvl="0" w:tplc="730A9F78">
      <w:start w:val="4"/>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76B1660"/>
    <w:multiLevelType w:val="hybridMultilevel"/>
    <w:tmpl w:val="2FDC659E"/>
    <w:lvl w:ilvl="0" w:tplc="A2E0D7C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E37899"/>
    <w:multiLevelType w:val="hybridMultilevel"/>
    <w:tmpl w:val="D4323CD8"/>
    <w:lvl w:ilvl="0" w:tplc="6B44A0F4">
      <w:start w:val="4"/>
      <w:numFmt w:val="upperRoman"/>
      <w:lvlText w:val="%1."/>
      <w:lvlJc w:val="left"/>
      <w:pPr>
        <w:ind w:left="72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BA2F11"/>
    <w:multiLevelType w:val="hybridMultilevel"/>
    <w:tmpl w:val="B27E018C"/>
    <w:lvl w:ilvl="0" w:tplc="6B609CCE">
      <w:start w:val="3"/>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1371B5"/>
    <w:multiLevelType w:val="hybridMultilevel"/>
    <w:tmpl w:val="FC7A905E"/>
    <w:lvl w:ilvl="0" w:tplc="7720A174">
      <w:start w:val="26"/>
      <w:numFmt w:val="decimal"/>
      <w:lvlText w:val="%1."/>
      <w:lvlJc w:val="left"/>
      <w:pPr>
        <w:ind w:left="927"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471236"/>
    <w:multiLevelType w:val="hybridMultilevel"/>
    <w:tmpl w:val="AB6CD4EC"/>
    <w:lvl w:ilvl="0" w:tplc="C86086BC">
      <w:start w:val="3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84B87"/>
    <w:multiLevelType w:val="hybridMultilevel"/>
    <w:tmpl w:val="76923F2E"/>
    <w:lvl w:ilvl="0" w:tplc="4B8A633C">
      <w:start w:val="6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C365F88"/>
    <w:multiLevelType w:val="hybridMultilevel"/>
    <w:tmpl w:val="89CA7E7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2D38DF"/>
    <w:multiLevelType w:val="hybridMultilevel"/>
    <w:tmpl w:val="082CF316"/>
    <w:lvl w:ilvl="0" w:tplc="ED78C648">
      <w:start w:val="65"/>
      <w:numFmt w:val="decimal"/>
      <w:lvlText w:val="%1."/>
      <w:lvlJc w:val="left"/>
      <w:pPr>
        <w:ind w:left="142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FD279B"/>
    <w:multiLevelType w:val="hybridMultilevel"/>
    <w:tmpl w:val="525AD46E"/>
    <w:lvl w:ilvl="0" w:tplc="1666AEF4">
      <w:start w:val="77"/>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FBE193E"/>
    <w:multiLevelType w:val="hybridMultilevel"/>
    <w:tmpl w:val="59209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1D6F24"/>
    <w:multiLevelType w:val="hybridMultilevel"/>
    <w:tmpl w:val="FFDC6926"/>
    <w:lvl w:ilvl="0" w:tplc="439075FA">
      <w:start w:val="43"/>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1947DD"/>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8D29D4"/>
    <w:multiLevelType w:val="hybridMultilevel"/>
    <w:tmpl w:val="EBAA6EAC"/>
    <w:lvl w:ilvl="0" w:tplc="CD5E21F2">
      <w:start w:val="72"/>
      <w:numFmt w:val="decimal"/>
      <w:lvlText w:val="%1."/>
      <w:lvlJc w:val="left"/>
      <w:pPr>
        <w:ind w:left="106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1D6497E"/>
    <w:multiLevelType w:val="hybridMultilevel"/>
    <w:tmpl w:val="82BCF7CA"/>
    <w:lvl w:ilvl="0" w:tplc="55F63ECE">
      <w:start w:val="46"/>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4A3498B"/>
    <w:multiLevelType w:val="hybridMultilevel"/>
    <w:tmpl w:val="3B545E18"/>
    <w:lvl w:ilvl="0" w:tplc="23EEA502">
      <w:start w:val="56"/>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0D7DCB"/>
    <w:multiLevelType w:val="hybridMultilevel"/>
    <w:tmpl w:val="4C642158"/>
    <w:lvl w:ilvl="0" w:tplc="7CF0AB3C">
      <w:start w:val="7"/>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4B1BAE"/>
    <w:multiLevelType w:val="hybridMultilevel"/>
    <w:tmpl w:val="DBD2C95E"/>
    <w:lvl w:ilvl="0" w:tplc="BA4CA5D4">
      <w:start w:val="1"/>
      <w:numFmt w:val="upperRoman"/>
      <w:lvlText w:val="%1."/>
      <w:lvlJc w:val="left"/>
      <w:pPr>
        <w:ind w:left="1080" w:hanging="720"/>
      </w:pPr>
      <w:rPr>
        <w:rFonts w:hint="default"/>
        <w:b/>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DDD2CB1"/>
    <w:multiLevelType w:val="hybridMultilevel"/>
    <w:tmpl w:val="562AFB06"/>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35" w15:restartNumberingAfterBreak="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6" w15:restartNumberingAfterBreak="0">
    <w:nsid w:val="5F580327"/>
    <w:multiLevelType w:val="multilevel"/>
    <w:tmpl w:val="7884F07C"/>
    <w:lvl w:ilvl="0">
      <w:start w:val="12"/>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8"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9"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0" w15:restartNumberingAfterBreak="0">
    <w:nsid w:val="6E7976DF"/>
    <w:multiLevelType w:val="hybridMultilevel"/>
    <w:tmpl w:val="1EBC6AC8"/>
    <w:lvl w:ilvl="0" w:tplc="7F38EEE8">
      <w:start w:val="52"/>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3C1AB8"/>
    <w:multiLevelType w:val="hybridMultilevel"/>
    <w:tmpl w:val="9614ECC8"/>
    <w:lvl w:ilvl="0" w:tplc="F2D8E9C6">
      <w:start w:val="27"/>
      <w:numFmt w:val="decimal"/>
      <w:lvlText w:val="%1."/>
      <w:lvlJc w:val="left"/>
      <w:pPr>
        <w:ind w:left="360" w:hanging="360"/>
      </w:pPr>
      <w:rPr>
        <w:rFonts w:ascii="Palatino Linotype" w:eastAsia="Times New Roman" w:hAnsi="Palatino Linotype" w:hint="default"/>
        <w:b/>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AA3C75"/>
    <w:multiLevelType w:val="hybridMultilevel"/>
    <w:tmpl w:val="44B2AD1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F32FC3"/>
    <w:multiLevelType w:val="hybridMultilevel"/>
    <w:tmpl w:val="0204C632"/>
    <w:lvl w:ilvl="0" w:tplc="40E4F992">
      <w:start w:val="53"/>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3B6589"/>
    <w:multiLevelType w:val="hybridMultilevel"/>
    <w:tmpl w:val="0FBE5B0C"/>
    <w:lvl w:ilvl="0" w:tplc="344009A2">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4"/>
  </w:num>
  <w:num w:numId="2">
    <w:abstractNumId w:val="31"/>
  </w:num>
  <w:num w:numId="3">
    <w:abstractNumId w:val="33"/>
  </w:num>
  <w:num w:numId="4">
    <w:abstractNumId w:val="39"/>
  </w:num>
  <w:num w:numId="5">
    <w:abstractNumId w:val="35"/>
  </w:num>
  <w:num w:numId="6">
    <w:abstractNumId w:val="37"/>
  </w:num>
  <w:num w:numId="7">
    <w:abstractNumId w:val="29"/>
  </w:num>
  <w:num w:numId="8">
    <w:abstractNumId w:val="5"/>
  </w:num>
  <w:num w:numId="9">
    <w:abstractNumId w:val="0"/>
  </w:num>
  <w:num w:numId="10">
    <w:abstractNumId w:val="20"/>
  </w:num>
  <w:num w:numId="11">
    <w:abstractNumId w:val="27"/>
  </w:num>
  <w:num w:numId="12">
    <w:abstractNumId w:val="6"/>
  </w:num>
  <w:num w:numId="13">
    <w:abstractNumId w:val="32"/>
  </w:num>
  <w:num w:numId="14">
    <w:abstractNumId w:val="47"/>
  </w:num>
  <w:num w:numId="15">
    <w:abstractNumId w:val="1"/>
  </w:num>
  <w:num w:numId="16">
    <w:abstractNumId w:val="10"/>
  </w:num>
  <w:num w:numId="17">
    <w:abstractNumId w:val="41"/>
  </w:num>
  <w:num w:numId="18">
    <w:abstractNumId w:val="23"/>
  </w:num>
  <w:num w:numId="19">
    <w:abstractNumId w:val="28"/>
  </w:num>
  <w:num w:numId="20">
    <w:abstractNumId w:val="40"/>
  </w:num>
  <w:num w:numId="21">
    <w:abstractNumId w:val="46"/>
  </w:num>
  <w:num w:numId="22">
    <w:abstractNumId w:val="30"/>
  </w:num>
  <w:num w:numId="23">
    <w:abstractNumId w:val="16"/>
  </w:num>
  <w:num w:numId="24">
    <w:abstractNumId w:val="13"/>
  </w:num>
  <w:num w:numId="25">
    <w:abstractNumId w:val="26"/>
  </w:num>
  <w:num w:numId="26">
    <w:abstractNumId w:val="19"/>
  </w:num>
  <w:num w:numId="27">
    <w:abstractNumId w:val="11"/>
  </w:num>
  <w:num w:numId="28">
    <w:abstractNumId w:val="8"/>
  </w:num>
  <w:num w:numId="29">
    <w:abstractNumId w:val="7"/>
  </w:num>
  <w:num w:numId="30">
    <w:abstractNumId w:val="4"/>
  </w:num>
  <w:num w:numId="31">
    <w:abstractNumId w:val="21"/>
  </w:num>
  <w:num w:numId="32">
    <w:abstractNumId w:val="2"/>
  </w:num>
  <w:num w:numId="33">
    <w:abstractNumId w:val="15"/>
  </w:num>
  <w:num w:numId="34">
    <w:abstractNumId w:val="45"/>
  </w:num>
  <w:num w:numId="35">
    <w:abstractNumId w:val="43"/>
  </w:num>
  <w:num w:numId="36">
    <w:abstractNumId w:val="22"/>
  </w:num>
  <w:num w:numId="37">
    <w:abstractNumId w:val="34"/>
  </w:num>
  <w:num w:numId="38">
    <w:abstractNumId w:val="9"/>
  </w:num>
  <w:num w:numId="39">
    <w:abstractNumId w:val="14"/>
  </w:num>
  <w:num w:numId="40">
    <w:abstractNumId w:val="38"/>
  </w:num>
  <w:num w:numId="41">
    <w:abstractNumId w:val="18"/>
  </w:num>
  <w:num w:numId="42">
    <w:abstractNumId w:val="44"/>
  </w:num>
  <w:num w:numId="43">
    <w:abstractNumId w:val="25"/>
  </w:num>
  <w:num w:numId="44">
    <w:abstractNumId w:val="17"/>
  </w:num>
  <w:num w:numId="45">
    <w:abstractNumId w:val="12"/>
  </w:num>
  <w:num w:numId="46">
    <w:abstractNumId w:val="42"/>
  </w:num>
  <w:num w:numId="47">
    <w:abstractNumId w:val="3"/>
  </w:num>
  <w:num w:numId="48">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D40"/>
    <w:rsid w:val="00006292"/>
    <w:rsid w:val="000137B8"/>
    <w:rsid w:val="000143E4"/>
    <w:rsid w:val="00014859"/>
    <w:rsid w:val="00022833"/>
    <w:rsid w:val="00032D26"/>
    <w:rsid w:val="00056DE9"/>
    <w:rsid w:val="00073647"/>
    <w:rsid w:val="00096CC2"/>
    <w:rsid w:val="000B2BC8"/>
    <w:rsid w:val="000C6443"/>
    <w:rsid w:val="000D5AEA"/>
    <w:rsid w:val="000F1AD8"/>
    <w:rsid w:val="000F6EAE"/>
    <w:rsid w:val="00102360"/>
    <w:rsid w:val="00102A9E"/>
    <w:rsid w:val="00113051"/>
    <w:rsid w:val="001134A2"/>
    <w:rsid w:val="001240A5"/>
    <w:rsid w:val="00136528"/>
    <w:rsid w:val="0014534B"/>
    <w:rsid w:val="00146C7D"/>
    <w:rsid w:val="0015056A"/>
    <w:rsid w:val="0016669E"/>
    <w:rsid w:val="001744A9"/>
    <w:rsid w:val="001759E6"/>
    <w:rsid w:val="00176DB8"/>
    <w:rsid w:val="00183675"/>
    <w:rsid w:val="00187610"/>
    <w:rsid w:val="001B19B4"/>
    <w:rsid w:val="001B2A38"/>
    <w:rsid w:val="001C2D8C"/>
    <w:rsid w:val="001D51C6"/>
    <w:rsid w:val="001E4EBD"/>
    <w:rsid w:val="001E7FE3"/>
    <w:rsid w:val="00222D24"/>
    <w:rsid w:val="00241815"/>
    <w:rsid w:val="00245FAB"/>
    <w:rsid w:val="0025316C"/>
    <w:rsid w:val="0027188D"/>
    <w:rsid w:val="002E3ED2"/>
    <w:rsid w:val="002F79FF"/>
    <w:rsid w:val="00315A31"/>
    <w:rsid w:val="003246CE"/>
    <w:rsid w:val="003258B6"/>
    <w:rsid w:val="00334204"/>
    <w:rsid w:val="00362134"/>
    <w:rsid w:val="00376456"/>
    <w:rsid w:val="00384DBA"/>
    <w:rsid w:val="00391ECE"/>
    <w:rsid w:val="003A094B"/>
    <w:rsid w:val="003B64F7"/>
    <w:rsid w:val="003D1DF8"/>
    <w:rsid w:val="004137A7"/>
    <w:rsid w:val="00434309"/>
    <w:rsid w:val="00434349"/>
    <w:rsid w:val="004505EE"/>
    <w:rsid w:val="00466F45"/>
    <w:rsid w:val="00474F5A"/>
    <w:rsid w:val="0048628E"/>
    <w:rsid w:val="004B0239"/>
    <w:rsid w:val="004B3295"/>
    <w:rsid w:val="004D0D2A"/>
    <w:rsid w:val="004E1262"/>
    <w:rsid w:val="004E1D27"/>
    <w:rsid w:val="004F15BB"/>
    <w:rsid w:val="00510F12"/>
    <w:rsid w:val="005556CA"/>
    <w:rsid w:val="00573FEE"/>
    <w:rsid w:val="0057636B"/>
    <w:rsid w:val="00581E2F"/>
    <w:rsid w:val="00586D5D"/>
    <w:rsid w:val="005C544A"/>
    <w:rsid w:val="005E38D6"/>
    <w:rsid w:val="005F30BC"/>
    <w:rsid w:val="00605C7F"/>
    <w:rsid w:val="006115A0"/>
    <w:rsid w:val="00617ACF"/>
    <w:rsid w:val="006257F0"/>
    <w:rsid w:val="00630412"/>
    <w:rsid w:val="00630750"/>
    <w:rsid w:val="00642A01"/>
    <w:rsid w:val="00656A65"/>
    <w:rsid w:val="006577B9"/>
    <w:rsid w:val="00684788"/>
    <w:rsid w:val="00687050"/>
    <w:rsid w:val="006F0A01"/>
    <w:rsid w:val="006F7748"/>
    <w:rsid w:val="00707317"/>
    <w:rsid w:val="00733E65"/>
    <w:rsid w:val="007528B1"/>
    <w:rsid w:val="00766BDF"/>
    <w:rsid w:val="00770CAF"/>
    <w:rsid w:val="00786073"/>
    <w:rsid w:val="0079319A"/>
    <w:rsid w:val="00797A31"/>
    <w:rsid w:val="007A5C1B"/>
    <w:rsid w:val="007D037D"/>
    <w:rsid w:val="007D1816"/>
    <w:rsid w:val="007F564A"/>
    <w:rsid w:val="008039E7"/>
    <w:rsid w:val="00807E40"/>
    <w:rsid w:val="008101EB"/>
    <w:rsid w:val="008128C6"/>
    <w:rsid w:val="0081508B"/>
    <w:rsid w:val="00832477"/>
    <w:rsid w:val="00877AE6"/>
    <w:rsid w:val="008A4E03"/>
    <w:rsid w:val="008C2121"/>
    <w:rsid w:val="008C3047"/>
    <w:rsid w:val="008F7805"/>
    <w:rsid w:val="00902FFF"/>
    <w:rsid w:val="00905472"/>
    <w:rsid w:val="009109B4"/>
    <w:rsid w:val="0098322D"/>
    <w:rsid w:val="009A2D39"/>
    <w:rsid w:val="009C382C"/>
    <w:rsid w:val="009D7DC0"/>
    <w:rsid w:val="00A0789D"/>
    <w:rsid w:val="00A112DF"/>
    <w:rsid w:val="00A13BDF"/>
    <w:rsid w:val="00A17B5F"/>
    <w:rsid w:val="00A25037"/>
    <w:rsid w:val="00A61EE4"/>
    <w:rsid w:val="00A640C7"/>
    <w:rsid w:val="00A66198"/>
    <w:rsid w:val="00A7073D"/>
    <w:rsid w:val="00A7237E"/>
    <w:rsid w:val="00A74966"/>
    <w:rsid w:val="00A766F3"/>
    <w:rsid w:val="00A93DB3"/>
    <w:rsid w:val="00AB44E1"/>
    <w:rsid w:val="00B31280"/>
    <w:rsid w:val="00B418D3"/>
    <w:rsid w:val="00B44BEB"/>
    <w:rsid w:val="00B46FD7"/>
    <w:rsid w:val="00B5044C"/>
    <w:rsid w:val="00B6334C"/>
    <w:rsid w:val="00B6498A"/>
    <w:rsid w:val="00B87397"/>
    <w:rsid w:val="00B9285A"/>
    <w:rsid w:val="00BB488C"/>
    <w:rsid w:val="00BD7A89"/>
    <w:rsid w:val="00C06F53"/>
    <w:rsid w:val="00C13B28"/>
    <w:rsid w:val="00C20346"/>
    <w:rsid w:val="00C32891"/>
    <w:rsid w:val="00C3434E"/>
    <w:rsid w:val="00C71CD0"/>
    <w:rsid w:val="00C743FE"/>
    <w:rsid w:val="00C753D8"/>
    <w:rsid w:val="00C93C6C"/>
    <w:rsid w:val="00CA2B8E"/>
    <w:rsid w:val="00CB73E4"/>
    <w:rsid w:val="00CC4F91"/>
    <w:rsid w:val="00CC7CC1"/>
    <w:rsid w:val="00CD56E2"/>
    <w:rsid w:val="00CF0462"/>
    <w:rsid w:val="00CF69A6"/>
    <w:rsid w:val="00D214EE"/>
    <w:rsid w:val="00D228DE"/>
    <w:rsid w:val="00D352B5"/>
    <w:rsid w:val="00D7079B"/>
    <w:rsid w:val="00D70E0E"/>
    <w:rsid w:val="00DD14BB"/>
    <w:rsid w:val="00DD319E"/>
    <w:rsid w:val="00DE0E07"/>
    <w:rsid w:val="00DE7A32"/>
    <w:rsid w:val="00E06302"/>
    <w:rsid w:val="00E20DC1"/>
    <w:rsid w:val="00E20E86"/>
    <w:rsid w:val="00E220D0"/>
    <w:rsid w:val="00E23078"/>
    <w:rsid w:val="00E235A7"/>
    <w:rsid w:val="00E32640"/>
    <w:rsid w:val="00E37324"/>
    <w:rsid w:val="00E452DC"/>
    <w:rsid w:val="00E469EB"/>
    <w:rsid w:val="00E57622"/>
    <w:rsid w:val="00E82D3D"/>
    <w:rsid w:val="00E84C48"/>
    <w:rsid w:val="00EA1463"/>
    <w:rsid w:val="00EB7577"/>
    <w:rsid w:val="00EF1A34"/>
    <w:rsid w:val="00F01325"/>
    <w:rsid w:val="00F1435E"/>
    <w:rsid w:val="00F16AB7"/>
    <w:rsid w:val="00F30EE8"/>
    <w:rsid w:val="00F354D8"/>
    <w:rsid w:val="00F60D79"/>
    <w:rsid w:val="00F627CE"/>
    <w:rsid w:val="00F82E38"/>
    <w:rsid w:val="00FA2027"/>
    <w:rsid w:val="00FB2286"/>
    <w:rsid w:val="00FB7111"/>
    <w:rsid w:val="00FC605B"/>
    <w:rsid w:val="00FE08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AEA"/>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82D3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E20DC1"/>
    <w:pPr>
      <w:tabs>
        <w:tab w:val="left" w:pos="660"/>
        <w:tab w:val="right" w:leader="dot" w:pos="8828"/>
      </w:tabs>
      <w:spacing w:after="100"/>
      <w:ind w:left="709" w:hanging="709"/>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styleId="TDC2">
    <w:name w:val="toc 2"/>
    <w:basedOn w:val="Normal"/>
    <w:next w:val="Normal"/>
    <w:autoRedefine/>
    <w:uiPriority w:val="39"/>
    <w:unhideWhenUsed/>
    <w:rsid w:val="009C382C"/>
    <w:pPr>
      <w:spacing w:after="100"/>
      <w:ind w:left="220"/>
    </w:pPr>
  </w:style>
  <w:style w:type="paragraph" w:styleId="TDC3">
    <w:name w:val="toc 3"/>
    <w:basedOn w:val="Normal"/>
    <w:next w:val="Normal"/>
    <w:autoRedefine/>
    <w:uiPriority w:val="39"/>
    <w:unhideWhenUsed/>
    <w:rsid w:val="009C382C"/>
    <w:pPr>
      <w:spacing w:after="100"/>
      <w:ind w:left="440"/>
    </w:pPr>
  </w:style>
  <w:style w:type="character" w:customStyle="1" w:styleId="A3">
    <w:name w:val="A3"/>
    <w:uiPriority w:val="99"/>
    <w:rsid w:val="00334204"/>
    <w:rPr>
      <w:color w:val="221E1F"/>
      <w:sz w:val="20"/>
      <w:szCs w:val="20"/>
    </w:rPr>
  </w:style>
  <w:style w:type="paragraph" w:customStyle="1" w:styleId="Pa7">
    <w:name w:val="Pa7"/>
    <w:basedOn w:val="Normal"/>
    <w:next w:val="Normal"/>
    <w:uiPriority w:val="99"/>
    <w:rsid w:val="00334204"/>
    <w:pPr>
      <w:autoSpaceDE w:val="0"/>
      <w:autoSpaceDN w:val="0"/>
      <w:adjustRightInd w:val="0"/>
      <w:spacing w:after="0" w:line="201" w:lineRule="atLeast"/>
    </w:pPr>
    <w:rPr>
      <w:rFonts w:ascii="Arial" w:hAnsi="Arial" w:cs="Arial"/>
      <w:sz w:val="24"/>
      <w:szCs w:val="24"/>
    </w:rPr>
  </w:style>
  <w:style w:type="character" w:customStyle="1" w:styleId="A5">
    <w:name w:val="A5"/>
    <w:uiPriority w:val="99"/>
    <w:rsid w:val="00334204"/>
    <w:rPr>
      <w:color w:val="221E1F"/>
      <w:sz w:val="11"/>
      <w:szCs w:val="11"/>
    </w:rPr>
  </w:style>
  <w:style w:type="table" w:styleId="Tablaconcuadrcula">
    <w:name w:val="Table Grid"/>
    <w:basedOn w:val="Tablanormal"/>
    <w:uiPriority w:val="39"/>
    <w:rsid w:val="00474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474F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F16AB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rancesa">
    <w:name w:val="francesa"/>
    <w:basedOn w:val="Normal"/>
    <w:rsid w:val="0013652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7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61110-8026-489E-8E2A-AC551BA5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1625</Words>
  <Characters>8942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2019-03-11T23:15:00Z</cp:lastPrinted>
  <dcterms:created xsi:type="dcterms:W3CDTF">2019-03-21T00:21:00Z</dcterms:created>
  <dcterms:modified xsi:type="dcterms:W3CDTF">2019-03-21T00:21:00Z</dcterms:modified>
</cp:coreProperties>
</file>